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jc w:val="center"/>
        <w:rPr>
          <w:rFonts w:ascii="黑体" w:eastAsia="黑体" w:cs="黑体"/>
          <w:kern w:val="0"/>
          <w:sz w:val="41"/>
          <w:szCs w:val="41"/>
        </w:rPr>
      </w:pPr>
    </w:p>
    <w:p>
      <w:pPr>
        <w:pStyle w:val="2"/>
        <w:tabs>
          <w:tab w:val="left" w:pos="1260"/>
          <w:tab w:val="left" w:pos="1980"/>
        </w:tabs>
        <w:adjustRightInd w:val="0"/>
        <w:spacing w:line="240" w:lineRule="auto"/>
        <w:ind w:firstLine="0" w:firstLineChars="0"/>
        <w:rPr>
          <w:rFonts w:ascii="黑体" w:hAnsi="黑体" w:eastAsia="黑体"/>
          <w:b w:val="0"/>
          <w:color w:val="000000"/>
          <w:sz w:val="30"/>
          <w:szCs w:val="30"/>
        </w:rPr>
      </w:pPr>
      <w:bookmarkStart w:id="0" w:name="_GoBack"/>
      <w:bookmarkEnd w:id="0"/>
      <w:r>
        <w:rPr>
          <w:rFonts w:hint="eastAsia" w:ascii="黑体" w:hAnsi="黑体" w:eastAsia="黑体"/>
          <w:b w:val="0"/>
          <w:color w:val="000000"/>
          <w:sz w:val="30"/>
          <w:szCs w:val="30"/>
        </w:rPr>
        <w:t>附件</w:t>
      </w:r>
    </w:p>
    <w:p>
      <w:pPr>
        <w:pStyle w:val="2"/>
        <w:tabs>
          <w:tab w:val="left" w:pos="1260"/>
          <w:tab w:val="left" w:pos="1980"/>
        </w:tabs>
        <w:adjustRightInd w:val="0"/>
        <w:spacing w:line="240" w:lineRule="auto"/>
        <w:ind w:firstLine="0" w:firstLineChars="0"/>
        <w:jc w:val="center"/>
        <w:rPr>
          <w:rFonts w:ascii="方正小标宋简体" w:hAnsi="黑体" w:eastAsia="方正小标宋简体"/>
          <w:b w:val="0"/>
          <w:color w:val="000000"/>
          <w:sz w:val="44"/>
          <w:szCs w:val="44"/>
        </w:rPr>
      </w:pPr>
    </w:p>
    <w:p>
      <w:pPr>
        <w:pStyle w:val="2"/>
        <w:tabs>
          <w:tab w:val="left" w:pos="1260"/>
          <w:tab w:val="left" w:pos="1980"/>
        </w:tabs>
        <w:adjustRightInd w:val="0"/>
        <w:spacing w:line="240" w:lineRule="auto"/>
        <w:ind w:firstLine="0" w:firstLineChars="0"/>
        <w:jc w:val="center"/>
        <w:rPr>
          <w:rFonts w:ascii="方正小标宋简体" w:hAnsi="黑体" w:eastAsia="方正小标宋简体"/>
          <w:b w:val="0"/>
          <w:color w:val="000000"/>
          <w:sz w:val="44"/>
          <w:szCs w:val="44"/>
        </w:rPr>
      </w:pPr>
    </w:p>
    <w:p>
      <w:pPr>
        <w:pStyle w:val="2"/>
        <w:tabs>
          <w:tab w:val="left" w:pos="1260"/>
          <w:tab w:val="left" w:pos="1980"/>
        </w:tabs>
        <w:adjustRightInd w:val="0"/>
        <w:spacing w:line="240" w:lineRule="auto"/>
        <w:ind w:firstLine="0" w:firstLineChars="0"/>
        <w:jc w:val="center"/>
        <w:rPr>
          <w:rFonts w:ascii="华文中宋" w:hAnsi="华文中宋" w:eastAsia="华文中宋"/>
          <w:bCs/>
          <w:color w:val="000000"/>
          <w:sz w:val="44"/>
          <w:szCs w:val="44"/>
        </w:rPr>
      </w:pPr>
      <w:r>
        <w:rPr>
          <w:rFonts w:hint="eastAsia" w:ascii="华文中宋" w:hAnsi="华文中宋" w:eastAsia="华文中宋"/>
          <w:color w:val="000000"/>
          <w:sz w:val="44"/>
          <w:szCs w:val="44"/>
        </w:rPr>
        <w:t>热电联产管理办法</w:t>
      </w:r>
      <w:r>
        <w:rPr>
          <w:rFonts w:hint="eastAsia" w:ascii="华文中宋" w:hAnsi="华文中宋" w:eastAsia="华文中宋"/>
          <w:color w:val="000000"/>
          <w:sz w:val="44"/>
          <w:szCs w:val="44"/>
        </w:rPr>
        <w:br/>
      </w:r>
    </w:p>
    <w:p>
      <w:pPr>
        <w:pStyle w:val="8"/>
        <w:adjustRightInd w:val="0"/>
        <w:snapToGrid w:val="0"/>
        <w:spacing w:beforeLines="50" w:afterLines="50" w:line="360" w:lineRule="auto"/>
        <w:ind w:firstLine="0" w:firstLineChars="0"/>
        <w:jc w:val="center"/>
        <w:outlineLvl w:val="0"/>
        <w:rPr>
          <w:rFonts w:ascii="黑体" w:hAnsi="黑体" w:eastAsia="黑体"/>
          <w:bCs/>
          <w:color w:val="000000"/>
          <w:sz w:val="32"/>
          <w:szCs w:val="32"/>
        </w:rPr>
      </w:pPr>
      <w:r>
        <w:rPr>
          <w:rFonts w:hint="eastAsia" w:ascii="黑体" w:hAnsi="黑体" w:eastAsia="黑体"/>
          <w:bCs/>
          <w:color w:val="000000"/>
          <w:sz w:val="32"/>
          <w:szCs w:val="32"/>
        </w:rPr>
        <w:t>第一章  总则</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为推进大气污染防治，提高能源利用效率，</w:t>
      </w:r>
      <w:r>
        <w:rPr>
          <w:rFonts w:ascii="仿宋_GB2312" w:hAnsi="宋体" w:eastAsia="仿宋_GB2312"/>
          <w:color w:val="000000"/>
          <w:sz w:val="32"/>
          <w:szCs w:val="32"/>
        </w:rPr>
        <w:t>促进热电</w:t>
      </w:r>
      <w:r>
        <w:rPr>
          <w:rFonts w:hint="eastAsia" w:ascii="仿宋_GB2312" w:hAnsi="宋体" w:eastAsia="仿宋_GB2312"/>
          <w:color w:val="000000"/>
          <w:sz w:val="32"/>
          <w:szCs w:val="32"/>
        </w:rPr>
        <w:t>产业健康</w:t>
      </w:r>
      <w:r>
        <w:rPr>
          <w:rFonts w:ascii="仿宋_GB2312" w:hAnsi="宋体" w:eastAsia="仿宋_GB2312"/>
          <w:color w:val="000000"/>
          <w:sz w:val="32"/>
          <w:szCs w:val="32"/>
        </w:rPr>
        <w:t>发展，依据国家相关法律法规和产业政策，制定本办法。</w:t>
      </w:r>
    </w:p>
    <w:p>
      <w:pPr>
        <w:numPr>
          <w:ilvl w:val="0"/>
          <w:numId w:val="1"/>
        </w:numPr>
        <w:tabs>
          <w:tab w:val="left" w:pos="1843"/>
        </w:tabs>
        <w:adjustRightInd w:val="0"/>
        <w:snapToGrid w:val="0"/>
        <w:spacing w:line="360" w:lineRule="auto"/>
        <w:ind w:left="0" w:firstLine="640" w:firstLineChars="200"/>
        <w:outlineLvl w:val="1"/>
        <w:rPr>
          <w:rFonts w:ascii="仿宋_GB2312" w:hAnsi="仿宋" w:eastAsia="仿宋_GB2312"/>
          <w:color w:val="000000"/>
          <w:sz w:val="32"/>
          <w:szCs w:val="32"/>
        </w:rPr>
      </w:pPr>
      <w:r>
        <w:rPr>
          <w:rFonts w:hint="eastAsia" w:ascii="仿宋_GB2312" w:hAnsi="仿宋" w:eastAsia="仿宋_GB2312"/>
          <w:color w:val="000000"/>
          <w:sz w:val="32"/>
          <w:szCs w:val="32"/>
        </w:rPr>
        <w:t>本办法适用于全国范围内热电联产项目（含企业自备热电联产项目）的规划建设及相关监督管理。</w:t>
      </w:r>
    </w:p>
    <w:p>
      <w:pPr>
        <w:numPr>
          <w:ilvl w:val="0"/>
          <w:numId w:val="1"/>
        </w:numPr>
        <w:tabs>
          <w:tab w:val="left" w:pos="1843"/>
        </w:tabs>
        <w:adjustRightInd w:val="0"/>
        <w:snapToGrid w:val="0"/>
        <w:spacing w:line="360" w:lineRule="auto"/>
        <w:ind w:left="0" w:firstLine="640" w:firstLineChars="200"/>
        <w:outlineLvl w:val="1"/>
        <w:rPr>
          <w:rFonts w:ascii="仿宋_GB2312" w:hAnsi="仿宋" w:eastAsia="仿宋_GB2312"/>
          <w:color w:val="000000"/>
          <w:sz w:val="32"/>
          <w:szCs w:val="32"/>
        </w:rPr>
      </w:pPr>
      <w:r>
        <w:rPr>
          <w:rFonts w:hint="eastAsia" w:ascii="仿宋_GB2312" w:hAnsi="仿宋" w:eastAsia="仿宋_GB2312"/>
          <w:color w:val="000000"/>
          <w:sz w:val="32"/>
          <w:szCs w:val="32"/>
        </w:rPr>
        <w:t>热电联产发展应遵循“统一规划、以热定电、立足存量、结构优化、提高能效、环保优先”的原则，力争实现北方大中型以上城市热电联产集中供热率达到60%以上，20万人口以上县城热电联产全覆盖，形成规划科学、布局合理、利用高效、供热安全的热电联产产业健康发展格局。</w:t>
      </w:r>
    </w:p>
    <w:p>
      <w:pPr>
        <w:pStyle w:val="8"/>
        <w:adjustRightInd w:val="0"/>
        <w:snapToGrid w:val="0"/>
        <w:spacing w:beforeLines="50" w:afterLines="50" w:line="360" w:lineRule="auto"/>
        <w:ind w:firstLine="0" w:firstLineChars="0"/>
        <w:jc w:val="center"/>
        <w:outlineLvl w:val="0"/>
        <w:rPr>
          <w:rFonts w:ascii="黑体" w:hAnsi="黑体" w:eastAsia="黑体"/>
          <w:bCs/>
          <w:color w:val="000000"/>
          <w:sz w:val="32"/>
          <w:szCs w:val="32"/>
        </w:rPr>
      </w:pPr>
      <w:r>
        <w:rPr>
          <w:rFonts w:hint="eastAsia" w:ascii="黑体" w:hAnsi="黑体" w:eastAsia="黑体"/>
          <w:bCs/>
          <w:color w:val="000000"/>
          <w:sz w:val="32"/>
          <w:szCs w:val="32"/>
        </w:rPr>
        <w:t xml:space="preserve">第二章  </w:t>
      </w:r>
      <w:r>
        <w:rPr>
          <w:rFonts w:ascii="黑体" w:hAnsi="黑体" w:eastAsia="黑体"/>
          <w:bCs/>
          <w:color w:val="000000"/>
          <w:sz w:val="32"/>
          <w:szCs w:val="32"/>
        </w:rPr>
        <w:t>规划</w:t>
      </w:r>
      <w:r>
        <w:rPr>
          <w:rFonts w:hint="eastAsia" w:ascii="黑体" w:hAnsi="黑体" w:eastAsia="黑体"/>
          <w:bCs/>
          <w:color w:val="000000"/>
          <w:sz w:val="32"/>
          <w:szCs w:val="32"/>
        </w:rPr>
        <w:t>建设</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热电联产规划是热电联产项目规划建设的必要条件。热电联产规划应依据本地区城市供热规划、环境治理规划和电力规划编制，与当地气候、资源、环境等外部条件相适应，以满足热力需求为首要任务，同步推进燃煤锅炉和落后小热电机组的替代关停。</w:t>
      </w:r>
    </w:p>
    <w:p>
      <w:pPr>
        <w:tabs>
          <w:tab w:val="left" w:pos="1843"/>
        </w:tabs>
        <w:adjustRightInd w:val="0"/>
        <w:snapToGrid w:val="0"/>
        <w:spacing w:line="360" w:lineRule="auto"/>
        <w:ind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热电联产规划应</w:t>
      </w:r>
      <w:r>
        <w:rPr>
          <w:rFonts w:ascii="仿宋_GB2312" w:hAnsi="宋体" w:eastAsia="仿宋_GB2312"/>
          <w:color w:val="000000"/>
          <w:sz w:val="32"/>
          <w:szCs w:val="32"/>
        </w:rPr>
        <w:t>纳入本省</w:t>
      </w:r>
      <w:r>
        <w:rPr>
          <w:rFonts w:hint="eastAsia" w:ascii="仿宋_GB2312" w:hAnsi="宋体" w:eastAsia="仿宋_GB2312"/>
          <w:color w:val="000000"/>
          <w:sz w:val="32"/>
          <w:szCs w:val="32"/>
        </w:rPr>
        <w:t>（</w:t>
      </w:r>
      <w:r>
        <w:rPr>
          <w:rFonts w:ascii="仿宋_GB2312" w:hAnsi="宋体" w:eastAsia="仿宋_GB2312"/>
          <w:color w:val="000000"/>
          <w:sz w:val="32"/>
          <w:szCs w:val="32"/>
        </w:rPr>
        <w:t>区</w:t>
      </w:r>
      <w:r>
        <w:rPr>
          <w:rFonts w:hint="eastAsia" w:ascii="仿宋_GB2312" w:hAnsi="宋体" w:eastAsia="仿宋_GB2312"/>
          <w:color w:val="000000"/>
          <w:sz w:val="32"/>
          <w:szCs w:val="32"/>
        </w:rPr>
        <w:t>、</w:t>
      </w:r>
      <w:r>
        <w:rPr>
          <w:rFonts w:ascii="仿宋_GB2312" w:hAnsi="宋体" w:eastAsia="仿宋_GB2312"/>
          <w:color w:val="000000"/>
          <w:sz w:val="32"/>
          <w:szCs w:val="32"/>
        </w:rPr>
        <w:t>市）</w:t>
      </w:r>
      <w:r>
        <w:rPr>
          <w:rFonts w:hint="eastAsia" w:ascii="仿宋_GB2312" w:hAnsi="宋体" w:eastAsia="仿宋_GB2312"/>
          <w:color w:val="000000"/>
          <w:sz w:val="32"/>
          <w:szCs w:val="32"/>
        </w:rPr>
        <w:t>五年</w:t>
      </w:r>
      <w:r>
        <w:rPr>
          <w:rFonts w:ascii="仿宋_GB2312" w:hAnsi="宋体" w:eastAsia="仿宋_GB2312"/>
          <w:color w:val="000000"/>
          <w:sz w:val="32"/>
          <w:szCs w:val="32"/>
        </w:rPr>
        <w:t>电力发展规划</w:t>
      </w:r>
      <w:r>
        <w:rPr>
          <w:rFonts w:hint="eastAsia" w:ascii="仿宋_GB2312" w:hAnsi="宋体" w:eastAsia="仿宋_GB2312"/>
          <w:color w:val="000000"/>
          <w:sz w:val="32"/>
          <w:szCs w:val="32"/>
        </w:rPr>
        <w:t>并开展规划环评工作</w:t>
      </w:r>
      <w:r>
        <w:rPr>
          <w:rFonts w:ascii="仿宋_GB2312" w:hAnsi="宋体" w:eastAsia="仿宋_GB2312"/>
          <w:color w:val="000000"/>
          <w:sz w:val="32"/>
          <w:szCs w:val="32"/>
        </w:rPr>
        <w:t>，</w:t>
      </w:r>
      <w:r>
        <w:rPr>
          <w:rFonts w:hint="eastAsia" w:ascii="仿宋_GB2312" w:hAnsi="宋体" w:eastAsia="仿宋_GB2312"/>
          <w:color w:val="000000"/>
          <w:sz w:val="32"/>
          <w:szCs w:val="32"/>
        </w:rPr>
        <w:t>规划期限原则上与</w:t>
      </w:r>
      <w:r>
        <w:rPr>
          <w:rFonts w:ascii="仿宋_GB2312" w:hAnsi="宋体" w:eastAsia="仿宋_GB2312"/>
          <w:color w:val="000000"/>
          <w:sz w:val="32"/>
          <w:szCs w:val="32"/>
        </w:rPr>
        <w:t>电力发展规划</w:t>
      </w:r>
      <w:r>
        <w:rPr>
          <w:rFonts w:hint="eastAsia" w:ascii="仿宋_GB2312" w:hAnsi="宋体" w:eastAsia="仿宋_GB2312"/>
          <w:color w:val="000000"/>
          <w:sz w:val="32"/>
          <w:szCs w:val="32"/>
        </w:rPr>
        <w:t>相一致。</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地市级或</w:t>
      </w:r>
      <w:r>
        <w:rPr>
          <w:rFonts w:ascii="仿宋_GB2312" w:hAnsi="宋体" w:eastAsia="仿宋_GB2312"/>
          <w:color w:val="000000"/>
          <w:sz w:val="32"/>
          <w:szCs w:val="32"/>
        </w:rPr>
        <w:t>县级</w:t>
      </w:r>
      <w:r>
        <w:rPr>
          <w:rFonts w:hint="eastAsia" w:ascii="仿宋_GB2312" w:hAnsi="宋体" w:eastAsia="仿宋_GB2312"/>
          <w:color w:val="000000"/>
          <w:sz w:val="32"/>
          <w:szCs w:val="32"/>
        </w:rPr>
        <w:t>能源</w:t>
      </w:r>
      <w:r>
        <w:rPr>
          <w:rFonts w:ascii="仿宋_GB2312" w:hAnsi="宋体" w:eastAsia="仿宋_GB2312"/>
          <w:color w:val="000000"/>
          <w:sz w:val="32"/>
          <w:szCs w:val="32"/>
        </w:rPr>
        <w:t>主管部门应</w:t>
      </w:r>
      <w:r>
        <w:rPr>
          <w:rFonts w:hint="eastAsia" w:ascii="仿宋_GB2312" w:hAnsi="宋体" w:eastAsia="仿宋_GB2312"/>
          <w:color w:val="000000"/>
          <w:sz w:val="32"/>
          <w:szCs w:val="32"/>
        </w:rPr>
        <w:t>在省级</w:t>
      </w:r>
      <w:r>
        <w:rPr>
          <w:rFonts w:ascii="仿宋_GB2312" w:hAnsi="宋体" w:eastAsia="仿宋_GB2312"/>
          <w:color w:val="000000"/>
          <w:sz w:val="32"/>
          <w:szCs w:val="32"/>
        </w:rPr>
        <w:t>能源主管部门的指导下，</w:t>
      </w:r>
      <w:r>
        <w:rPr>
          <w:rFonts w:hint="eastAsia" w:ascii="仿宋_GB2312" w:hAnsi="宋体" w:eastAsia="仿宋_GB2312"/>
          <w:color w:val="000000"/>
          <w:sz w:val="32"/>
          <w:szCs w:val="32"/>
        </w:rPr>
        <w:t>依据当地城市</w:t>
      </w:r>
      <w:r>
        <w:rPr>
          <w:rFonts w:ascii="仿宋_GB2312" w:hAnsi="宋体" w:eastAsia="仿宋_GB2312"/>
          <w:color w:val="000000"/>
          <w:sz w:val="32"/>
          <w:szCs w:val="32"/>
        </w:rPr>
        <w:t>总体规划、</w:t>
      </w:r>
      <w:r>
        <w:rPr>
          <w:rFonts w:hint="eastAsia" w:ascii="仿宋_GB2312" w:hAnsi="宋体" w:eastAsia="仿宋_GB2312"/>
          <w:color w:val="000000"/>
          <w:sz w:val="32"/>
          <w:szCs w:val="32"/>
        </w:rPr>
        <w:t>供热规划、热力</w:t>
      </w:r>
      <w:r>
        <w:rPr>
          <w:rFonts w:ascii="仿宋_GB2312" w:hAnsi="宋体" w:eastAsia="仿宋_GB2312"/>
          <w:color w:val="000000"/>
          <w:sz w:val="32"/>
          <w:szCs w:val="32"/>
        </w:rPr>
        <w:t>电力</w:t>
      </w:r>
      <w:r>
        <w:rPr>
          <w:rFonts w:hint="eastAsia" w:ascii="仿宋_GB2312" w:hAnsi="宋体" w:eastAsia="仿宋_GB2312"/>
          <w:color w:val="000000"/>
          <w:sz w:val="32"/>
          <w:szCs w:val="32"/>
        </w:rPr>
        <w:t>需求、资源禀赋</w:t>
      </w:r>
      <w:r>
        <w:rPr>
          <w:rFonts w:ascii="仿宋_GB2312" w:hAnsi="宋体" w:eastAsia="仿宋_GB2312"/>
          <w:color w:val="000000"/>
          <w:sz w:val="32"/>
          <w:szCs w:val="32"/>
        </w:rPr>
        <w:t>、环境</w:t>
      </w:r>
      <w:r>
        <w:rPr>
          <w:rFonts w:hint="eastAsia" w:ascii="仿宋_GB2312" w:hAnsi="宋体" w:eastAsia="仿宋_GB2312"/>
          <w:color w:val="000000"/>
          <w:sz w:val="32"/>
          <w:szCs w:val="32"/>
        </w:rPr>
        <w:t>约束等条件</w:t>
      </w:r>
      <w:r>
        <w:rPr>
          <w:rFonts w:ascii="仿宋_GB2312" w:hAnsi="宋体" w:eastAsia="仿宋_GB2312"/>
          <w:color w:val="000000"/>
          <w:sz w:val="32"/>
          <w:szCs w:val="32"/>
        </w:rPr>
        <w:t>，</w:t>
      </w:r>
      <w:r>
        <w:rPr>
          <w:rFonts w:hint="eastAsia" w:ascii="仿宋_GB2312" w:hAnsi="宋体" w:eastAsia="仿宋_GB2312"/>
          <w:color w:val="000000"/>
          <w:sz w:val="32"/>
          <w:szCs w:val="32"/>
        </w:rPr>
        <w:t>编制本地区“城市</w:t>
      </w:r>
      <w:r>
        <w:rPr>
          <w:rFonts w:ascii="仿宋_GB2312" w:hAnsi="宋体" w:eastAsia="仿宋_GB2312"/>
          <w:color w:val="000000"/>
          <w:sz w:val="32"/>
          <w:szCs w:val="32"/>
        </w:rPr>
        <w:t>热电联产规划</w:t>
      </w:r>
      <w:r>
        <w:rPr>
          <w:rFonts w:hint="eastAsia" w:ascii="仿宋_GB2312" w:hAnsi="宋体" w:eastAsia="仿宋_GB2312"/>
          <w:color w:val="000000"/>
          <w:sz w:val="32"/>
          <w:szCs w:val="32"/>
        </w:rPr>
        <w:t>”</w:t>
      </w:r>
      <w:r>
        <w:rPr>
          <w:rFonts w:ascii="仿宋_GB2312" w:hAnsi="宋体" w:eastAsia="仿宋_GB2312"/>
          <w:color w:val="000000"/>
          <w:sz w:val="32"/>
          <w:szCs w:val="32"/>
        </w:rPr>
        <w:t>或</w:t>
      </w:r>
      <w:r>
        <w:rPr>
          <w:rFonts w:hint="eastAsia" w:ascii="仿宋_GB2312" w:hAnsi="宋体" w:eastAsia="仿宋_GB2312"/>
          <w:color w:val="000000"/>
          <w:sz w:val="32"/>
          <w:szCs w:val="32"/>
        </w:rPr>
        <w:t>“</w:t>
      </w:r>
      <w:r>
        <w:rPr>
          <w:rFonts w:ascii="仿宋_GB2312" w:hAnsi="宋体" w:eastAsia="仿宋_GB2312"/>
          <w:color w:val="000000"/>
          <w:sz w:val="32"/>
          <w:szCs w:val="32"/>
        </w:rPr>
        <w:t>工业园区热电联产规划</w:t>
      </w:r>
      <w:r>
        <w:rPr>
          <w:rFonts w:hint="eastAsia" w:ascii="仿宋_GB2312" w:hAnsi="宋体" w:eastAsia="仿宋_GB2312"/>
          <w:color w:val="000000"/>
          <w:sz w:val="32"/>
          <w:szCs w:val="32"/>
        </w:rPr>
        <w:t>”，并在规划中明确配套热网的建设方案。热电</w:t>
      </w:r>
      <w:r>
        <w:rPr>
          <w:rFonts w:ascii="仿宋_GB2312" w:hAnsi="宋体" w:eastAsia="仿宋_GB2312"/>
          <w:color w:val="000000"/>
          <w:sz w:val="32"/>
          <w:szCs w:val="32"/>
        </w:rPr>
        <w:t>联产规划应委托有资质的咨询机构编制</w:t>
      </w:r>
      <w:r>
        <w:rPr>
          <w:rFonts w:hint="eastAsia" w:ascii="仿宋_GB2312" w:hAnsi="宋体" w:eastAsia="仿宋_GB2312"/>
          <w:color w:val="000000"/>
          <w:sz w:val="32"/>
          <w:szCs w:val="32"/>
        </w:rPr>
        <w:t>。</w:t>
      </w:r>
    </w:p>
    <w:p>
      <w:pPr>
        <w:tabs>
          <w:tab w:val="left" w:pos="1843"/>
        </w:tabs>
        <w:adjustRightInd w:val="0"/>
        <w:snapToGrid w:val="0"/>
        <w:spacing w:line="360" w:lineRule="auto"/>
        <w:ind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根据需要，省级能源主管部门可</w:t>
      </w:r>
      <w:r>
        <w:rPr>
          <w:rFonts w:ascii="仿宋_GB2312" w:hAnsi="宋体" w:eastAsia="仿宋_GB2312"/>
          <w:color w:val="000000"/>
          <w:sz w:val="32"/>
          <w:szCs w:val="32"/>
        </w:rPr>
        <w:t>委托有资质的第三方</w:t>
      </w:r>
      <w:r>
        <w:rPr>
          <w:rFonts w:hint="eastAsia" w:ascii="仿宋_GB2312" w:hAnsi="宋体" w:eastAsia="仿宋_GB2312"/>
          <w:color w:val="000000"/>
          <w:sz w:val="32"/>
          <w:szCs w:val="32"/>
        </w:rPr>
        <w:t>咨询</w:t>
      </w:r>
      <w:r>
        <w:rPr>
          <w:rFonts w:ascii="仿宋_GB2312" w:hAnsi="宋体" w:eastAsia="仿宋_GB2312"/>
          <w:color w:val="000000"/>
          <w:sz w:val="32"/>
          <w:szCs w:val="32"/>
        </w:rPr>
        <w:t>机构</w:t>
      </w:r>
      <w:r>
        <w:rPr>
          <w:rFonts w:hint="eastAsia" w:ascii="仿宋_GB2312" w:hAnsi="宋体" w:eastAsia="仿宋_GB2312"/>
          <w:color w:val="000000"/>
          <w:sz w:val="32"/>
          <w:szCs w:val="32"/>
        </w:rPr>
        <w:t>对</w:t>
      </w:r>
      <w:r>
        <w:rPr>
          <w:rFonts w:ascii="仿宋_GB2312" w:hAnsi="宋体" w:eastAsia="仿宋_GB2312"/>
          <w:color w:val="000000"/>
          <w:sz w:val="32"/>
          <w:szCs w:val="32"/>
        </w:rPr>
        <w:t>热电联产规划</w:t>
      </w:r>
      <w:r>
        <w:rPr>
          <w:rFonts w:hint="eastAsia" w:ascii="仿宋_GB2312" w:hAnsi="宋体" w:eastAsia="仿宋_GB2312"/>
          <w:color w:val="000000"/>
          <w:sz w:val="32"/>
          <w:szCs w:val="32"/>
        </w:rPr>
        <w:t>进行评估</w:t>
      </w:r>
      <w:r>
        <w:rPr>
          <w:rFonts w:ascii="仿宋_GB2312" w:hAnsi="宋体" w:eastAsia="仿宋_GB2312"/>
          <w:color w:val="000000"/>
          <w:sz w:val="32"/>
          <w:szCs w:val="32"/>
        </w:rPr>
        <w:t>。</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严格调查核实</w:t>
      </w:r>
      <w:r>
        <w:rPr>
          <w:rFonts w:ascii="仿宋_GB2312" w:hAnsi="宋体" w:eastAsia="仿宋_GB2312"/>
          <w:color w:val="000000"/>
          <w:sz w:val="32"/>
          <w:szCs w:val="32"/>
        </w:rPr>
        <w:t>现状热负荷</w:t>
      </w:r>
      <w:r>
        <w:rPr>
          <w:rFonts w:hint="eastAsia" w:ascii="仿宋_GB2312" w:hAnsi="宋体" w:eastAsia="仿宋_GB2312"/>
          <w:color w:val="000000"/>
          <w:sz w:val="32"/>
          <w:szCs w:val="32"/>
        </w:rPr>
        <w:t>，</w:t>
      </w:r>
      <w:r>
        <w:rPr>
          <w:rFonts w:ascii="仿宋_GB2312" w:hAnsi="宋体" w:eastAsia="仿宋_GB2312"/>
          <w:color w:val="000000"/>
          <w:sz w:val="32"/>
          <w:szCs w:val="32"/>
        </w:rPr>
        <w:t>科学合理预测近期和远期</w:t>
      </w:r>
      <w:r>
        <w:rPr>
          <w:rFonts w:hint="eastAsia" w:ascii="仿宋_GB2312" w:hAnsi="宋体" w:eastAsia="仿宋_GB2312"/>
          <w:color w:val="000000"/>
          <w:sz w:val="32"/>
          <w:szCs w:val="32"/>
        </w:rPr>
        <w:t>规划</w:t>
      </w:r>
      <w:r>
        <w:rPr>
          <w:rFonts w:ascii="仿宋_GB2312" w:hAnsi="宋体" w:eastAsia="仿宋_GB2312"/>
          <w:color w:val="000000"/>
          <w:sz w:val="32"/>
          <w:szCs w:val="32"/>
        </w:rPr>
        <w:t>热负荷。</w:t>
      </w:r>
      <w:r>
        <w:rPr>
          <w:rFonts w:hint="eastAsia" w:ascii="仿宋_GB2312" w:hAnsi="宋体" w:eastAsia="仿宋_GB2312"/>
          <w:color w:val="000000"/>
          <w:sz w:val="32"/>
          <w:szCs w:val="32"/>
        </w:rPr>
        <w:t>现状热负荷为热电联产规划编制年的上一年的热负荷。</w:t>
      </w:r>
    </w:p>
    <w:p>
      <w:pPr>
        <w:pStyle w:val="8"/>
        <w:tabs>
          <w:tab w:val="left" w:pos="1260"/>
          <w:tab w:val="left" w:pos="1980"/>
        </w:tabs>
        <w:adjustRightInd w:val="0"/>
        <w:snapToGrid w:val="0"/>
        <w:spacing w:line="360" w:lineRule="auto"/>
        <w:ind w:firstLine="640"/>
        <w:rPr>
          <w:rFonts w:ascii="仿宋_GB2312" w:hAnsi="宋体" w:eastAsia="仿宋_GB2312"/>
          <w:color w:val="000000"/>
          <w:sz w:val="32"/>
          <w:szCs w:val="32"/>
        </w:rPr>
      </w:pPr>
      <w:r>
        <w:rPr>
          <w:rFonts w:hint="eastAsia" w:ascii="仿宋_GB2312" w:hAnsi="宋体" w:eastAsia="仿宋_GB2312"/>
          <w:color w:val="000000"/>
          <w:sz w:val="32"/>
          <w:szCs w:val="32"/>
        </w:rPr>
        <w:t>对于采暖型热电联产项目，现状热负荷应根据政府统计资料，按供热分区、建筑类别、建筑年代进行调查核实；近期和远期热负荷应</w:t>
      </w:r>
      <w:r>
        <w:rPr>
          <w:rFonts w:hint="eastAsia" w:ascii="仿宋_GB2312" w:hAnsi="宋体" w:eastAsia="仿宋_GB2312"/>
          <w:color w:val="000000"/>
          <w:kern w:val="0"/>
          <w:sz w:val="32"/>
          <w:szCs w:val="32"/>
        </w:rPr>
        <w:t>综合</w:t>
      </w:r>
      <w:r>
        <w:rPr>
          <w:rFonts w:ascii="仿宋_GB2312" w:hAnsi="宋体" w:eastAsia="仿宋_GB2312"/>
          <w:color w:val="000000"/>
          <w:sz w:val="32"/>
          <w:szCs w:val="32"/>
        </w:rPr>
        <w:t>考虑</w:t>
      </w:r>
      <w:r>
        <w:rPr>
          <w:rFonts w:hint="eastAsia" w:ascii="仿宋_GB2312" w:hAnsi="宋体" w:eastAsia="仿宋_GB2312"/>
          <w:color w:val="000000"/>
          <w:sz w:val="32"/>
          <w:szCs w:val="32"/>
        </w:rPr>
        <w:t>城区常住</w:t>
      </w:r>
      <w:r>
        <w:rPr>
          <w:rFonts w:ascii="仿宋_GB2312" w:hAnsi="宋体" w:eastAsia="仿宋_GB2312"/>
          <w:color w:val="000000"/>
          <w:sz w:val="32"/>
          <w:szCs w:val="32"/>
        </w:rPr>
        <w:t>人口</w:t>
      </w:r>
      <w:r>
        <w:rPr>
          <w:rFonts w:hint="eastAsia" w:ascii="仿宋_GB2312" w:hAnsi="宋体" w:eastAsia="仿宋_GB2312"/>
          <w:color w:val="000000"/>
          <w:sz w:val="32"/>
          <w:szCs w:val="32"/>
        </w:rPr>
        <w:t>、建筑建设年代、人均建筑面积、</w:t>
      </w:r>
      <w:r>
        <w:rPr>
          <w:rFonts w:ascii="仿宋_GB2312" w:hAnsi="宋体" w:eastAsia="仿宋_GB2312"/>
          <w:color w:val="000000"/>
          <w:sz w:val="32"/>
          <w:szCs w:val="32"/>
        </w:rPr>
        <w:t>集中供热</w:t>
      </w:r>
      <w:r>
        <w:rPr>
          <w:rFonts w:hint="eastAsia" w:ascii="仿宋_GB2312" w:hAnsi="宋体" w:eastAsia="仿宋_GB2312"/>
          <w:color w:val="000000"/>
          <w:sz w:val="32"/>
          <w:szCs w:val="32"/>
        </w:rPr>
        <w:t>普及率、综合</w:t>
      </w:r>
      <w:r>
        <w:rPr>
          <w:rFonts w:ascii="仿宋_GB2312" w:hAnsi="宋体" w:eastAsia="仿宋_GB2312"/>
          <w:color w:val="000000"/>
          <w:sz w:val="32"/>
          <w:szCs w:val="32"/>
        </w:rPr>
        <w:t>采暖热指标</w:t>
      </w:r>
      <w:r>
        <w:rPr>
          <w:rFonts w:hint="eastAsia" w:ascii="仿宋_GB2312" w:hAnsi="宋体" w:eastAsia="仿宋_GB2312"/>
          <w:color w:val="000000"/>
          <w:sz w:val="32"/>
          <w:szCs w:val="32"/>
        </w:rPr>
        <w:t>等</w:t>
      </w:r>
      <w:r>
        <w:rPr>
          <w:rFonts w:ascii="仿宋_GB2312" w:hAnsi="宋体" w:eastAsia="仿宋_GB2312"/>
          <w:color w:val="000000"/>
          <w:sz w:val="32"/>
          <w:szCs w:val="32"/>
        </w:rPr>
        <w:t>因素</w:t>
      </w:r>
      <w:r>
        <w:rPr>
          <w:rFonts w:hint="eastAsia" w:ascii="仿宋_GB2312" w:hAnsi="宋体" w:eastAsia="仿宋_GB2312"/>
          <w:color w:val="000000"/>
          <w:sz w:val="32"/>
          <w:szCs w:val="32"/>
        </w:rPr>
        <w:t>进行合理</w:t>
      </w:r>
      <w:r>
        <w:rPr>
          <w:rFonts w:ascii="仿宋_GB2312" w:hAnsi="宋体" w:eastAsia="仿宋_GB2312"/>
          <w:color w:val="000000"/>
          <w:sz w:val="32"/>
          <w:szCs w:val="32"/>
        </w:rPr>
        <w:t>预测</w:t>
      </w:r>
      <w:r>
        <w:rPr>
          <w:rFonts w:hint="eastAsia" w:ascii="仿宋_GB2312" w:hAnsi="宋体" w:eastAsia="仿宋_GB2312"/>
          <w:color w:val="000000"/>
          <w:sz w:val="32"/>
          <w:szCs w:val="32"/>
        </w:rPr>
        <w:t>。人均建筑面积年均增长率一般按不超过5%考虑。</w:t>
      </w:r>
    </w:p>
    <w:p>
      <w:pPr>
        <w:pStyle w:val="8"/>
        <w:tabs>
          <w:tab w:val="left" w:pos="1260"/>
          <w:tab w:val="left" w:pos="1980"/>
        </w:tabs>
        <w:adjustRightInd w:val="0"/>
        <w:snapToGrid w:val="0"/>
        <w:spacing w:line="360" w:lineRule="auto"/>
        <w:ind w:firstLine="640"/>
        <w:rPr>
          <w:rFonts w:ascii="仿宋_GB2312" w:hAnsi="宋体" w:eastAsia="仿宋_GB2312"/>
          <w:color w:val="000000"/>
          <w:sz w:val="32"/>
          <w:szCs w:val="32"/>
        </w:rPr>
      </w:pPr>
      <w:r>
        <w:rPr>
          <w:rFonts w:hint="eastAsia" w:ascii="仿宋_GB2312" w:hAnsi="宋体" w:eastAsia="仿宋_GB2312"/>
          <w:color w:val="000000"/>
          <w:sz w:val="32"/>
          <w:szCs w:val="32"/>
        </w:rPr>
        <w:t>对于工业热电联产项目，现状热负荷应根据现有工业</w:t>
      </w:r>
      <w:r>
        <w:rPr>
          <w:rFonts w:ascii="仿宋_GB2312" w:hAnsi="宋体" w:eastAsia="仿宋_GB2312"/>
          <w:color w:val="000000"/>
          <w:sz w:val="32"/>
          <w:szCs w:val="32"/>
        </w:rPr>
        <w:t>项目</w:t>
      </w:r>
      <w:r>
        <w:rPr>
          <w:rFonts w:hint="eastAsia" w:ascii="仿宋_GB2312" w:hAnsi="宋体" w:eastAsia="仿宋_GB2312"/>
          <w:color w:val="000000"/>
          <w:sz w:val="32"/>
          <w:szCs w:val="32"/>
        </w:rPr>
        <w:t>的负荷率、用热量</w:t>
      </w:r>
      <w:r>
        <w:rPr>
          <w:rFonts w:ascii="仿宋_GB2312" w:hAnsi="宋体" w:eastAsia="仿宋_GB2312"/>
          <w:color w:val="000000"/>
          <w:sz w:val="32"/>
          <w:szCs w:val="32"/>
        </w:rPr>
        <w:t>和</w:t>
      </w:r>
      <w:r>
        <w:rPr>
          <w:rFonts w:hint="eastAsia" w:ascii="仿宋_GB2312" w:hAnsi="宋体" w:eastAsia="仿宋_GB2312"/>
          <w:color w:val="000000"/>
          <w:sz w:val="32"/>
          <w:szCs w:val="32"/>
        </w:rPr>
        <w:t>参数、同时率等进行调查核实，近期热负荷应</w:t>
      </w:r>
      <w:r>
        <w:rPr>
          <w:rFonts w:ascii="仿宋_GB2312" w:hAnsi="宋体" w:eastAsia="仿宋_GB2312"/>
          <w:color w:val="000000"/>
          <w:sz w:val="32"/>
          <w:szCs w:val="32"/>
        </w:rPr>
        <w:t>依据现有、在建和</w:t>
      </w:r>
      <w:r>
        <w:rPr>
          <w:rFonts w:hint="eastAsia" w:ascii="仿宋_GB2312" w:hAnsi="宋体" w:eastAsia="仿宋_GB2312"/>
          <w:color w:val="000000"/>
          <w:sz w:val="32"/>
          <w:szCs w:val="32"/>
        </w:rPr>
        <w:t>经审批的</w:t>
      </w:r>
      <w:r>
        <w:rPr>
          <w:rFonts w:ascii="仿宋_GB2312" w:hAnsi="宋体" w:eastAsia="仿宋_GB2312"/>
          <w:color w:val="000000"/>
          <w:sz w:val="32"/>
          <w:szCs w:val="32"/>
        </w:rPr>
        <w:t>工业项目</w:t>
      </w:r>
      <w:r>
        <w:rPr>
          <w:rFonts w:hint="eastAsia" w:ascii="仿宋_GB2312" w:hAnsi="宋体" w:eastAsia="仿宋_GB2312"/>
          <w:color w:val="000000"/>
          <w:sz w:val="32"/>
          <w:szCs w:val="32"/>
        </w:rPr>
        <w:t>的</w:t>
      </w:r>
      <w:r>
        <w:rPr>
          <w:rFonts w:ascii="仿宋_GB2312" w:hAnsi="宋体" w:eastAsia="仿宋_GB2312"/>
          <w:color w:val="000000"/>
          <w:sz w:val="32"/>
          <w:szCs w:val="32"/>
        </w:rPr>
        <w:t>热力需求</w:t>
      </w:r>
      <w:r>
        <w:rPr>
          <w:rFonts w:hint="eastAsia" w:ascii="仿宋_GB2312" w:hAnsi="宋体" w:eastAsia="仿宋_GB2312"/>
          <w:color w:val="000000"/>
          <w:sz w:val="32"/>
          <w:szCs w:val="32"/>
        </w:rPr>
        <w:t>确定，远期工业热负荷应综合考虑工业园区的规模、</w:t>
      </w:r>
      <w:r>
        <w:rPr>
          <w:rFonts w:ascii="仿宋_GB2312" w:hAnsi="宋体" w:eastAsia="仿宋_GB2312"/>
          <w:color w:val="000000"/>
          <w:sz w:val="32"/>
          <w:szCs w:val="32"/>
        </w:rPr>
        <w:t>特性和</w:t>
      </w:r>
      <w:r>
        <w:rPr>
          <w:rFonts w:hint="eastAsia" w:ascii="仿宋_GB2312" w:hAnsi="宋体" w:eastAsia="仿宋_GB2312"/>
          <w:color w:val="000000"/>
          <w:sz w:val="32"/>
          <w:szCs w:val="32"/>
        </w:rPr>
        <w:t>发展等因素进行预测。</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根据地区气候条件，合理确定供热方式</w:t>
      </w:r>
      <w:r>
        <w:rPr>
          <w:rFonts w:ascii="仿宋_GB2312" w:hAnsi="宋体" w:eastAsia="仿宋_GB2312"/>
          <w:color w:val="000000"/>
          <w:sz w:val="32"/>
          <w:szCs w:val="32"/>
        </w:rPr>
        <w:t>，</w:t>
      </w:r>
      <w:r>
        <w:rPr>
          <w:rFonts w:hint="eastAsia" w:ascii="仿宋_GB2312" w:hAnsi="宋体" w:eastAsia="仿宋_GB2312"/>
          <w:color w:val="000000"/>
          <w:sz w:val="32"/>
          <w:szCs w:val="32"/>
        </w:rPr>
        <w:t>具体地区</w:t>
      </w:r>
      <w:r>
        <w:rPr>
          <w:rFonts w:ascii="仿宋_GB2312" w:hAnsi="宋体" w:eastAsia="仿宋_GB2312"/>
          <w:color w:val="000000"/>
          <w:sz w:val="32"/>
          <w:szCs w:val="32"/>
        </w:rPr>
        <w:t>划分</w:t>
      </w:r>
      <w:r>
        <w:rPr>
          <w:rFonts w:hint="eastAsia" w:ascii="仿宋_GB2312" w:hAnsi="宋体" w:eastAsia="仿宋_GB2312"/>
          <w:color w:val="000000"/>
          <w:sz w:val="32"/>
          <w:szCs w:val="32"/>
        </w:rPr>
        <w:t>方式按照《民用建筑热工设计规范》（GB50176）等国家有关规定执行。</w:t>
      </w:r>
    </w:p>
    <w:p>
      <w:pPr>
        <w:tabs>
          <w:tab w:val="left" w:pos="1843"/>
        </w:tabs>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严寒、寒冷地区（包括秦岭、淮河以北，新疆、青海）优先规划建设以采暖为主的热电联产项目，替代分散燃煤锅炉和落后小热电机组。夏热冬冷地区（包括长江以南的部分地区）鼓励因地制宜采用</w:t>
      </w:r>
      <w:r>
        <w:rPr>
          <w:rFonts w:ascii="仿宋_GB2312" w:hAnsi="宋体" w:eastAsia="仿宋_GB2312"/>
          <w:color w:val="000000"/>
          <w:sz w:val="32"/>
          <w:szCs w:val="32"/>
        </w:rPr>
        <w:t>分布式能源等多种</w:t>
      </w:r>
      <w:r>
        <w:rPr>
          <w:rFonts w:hint="eastAsia" w:ascii="仿宋_GB2312" w:hAnsi="宋体" w:eastAsia="仿宋_GB2312"/>
          <w:color w:val="000000"/>
          <w:sz w:val="32"/>
          <w:szCs w:val="32"/>
        </w:rPr>
        <w:t>方式</w:t>
      </w:r>
      <w:r>
        <w:rPr>
          <w:rFonts w:ascii="仿宋_GB2312" w:hAnsi="宋体" w:eastAsia="仿宋_GB2312"/>
          <w:color w:val="000000"/>
          <w:sz w:val="32"/>
          <w:szCs w:val="32"/>
        </w:rPr>
        <w:t>满足</w:t>
      </w:r>
      <w:r>
        <w:rPr>
          <w:rFonts w:hint="eastAsia" w:ascii="仿宋_GB2312" w:hAnsi="宋体" w:eastAsia="仿宋_GB2312"/>
          <w:color w:val="000000"/>
          <w:sz w:val="32"/>
          <w:szCs w:val="32"/>
        </w:rPr>
        <w:t>采暖供热</w:t>
      </w:r>
      <w:r>
        <w:rPr>
          <w:rFonts w:ascii="仿宋_GB2312" w:hAnsi="宋体" w:eastAsia="仿宋_GB2312"/>
          <w:color w:val="000000"/>
          <w:sz w:val="32"/>
          <w:szCs w:val="32"/>
        </w:rPr>
        <w:t>需求。</w:t>
      </w:r>
      <w:r>
        <w:rPr>
          <w:rFonts w:hint="eastAsia" w:ascii="仿宋_GB2312" w:hAnsi="宋体" w:eastAsia="仿宋_GB2312"/>
          <w:color w:val="000000"/>
          <w:sz w:val="32"/>
          <w:szCs w:val="32"/>
        </w:rPr>
        <w:t>夏热冬暖与温和地区除满足工业园区热力需求外，暂不考虑规划建设热电联产项目。</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规划建设热电联产应以集中供热为前提，对于不具备集中供热条件的地区，暂不考虑规划建设热电联产项目。以工业热负荷为主的工业园区，应尽可能集中规划建设用热工业</w:t>
      </w:r>
      <w:r>
        <w:rPr>
          <w:rFonts w:ascii="仿宋_GB2312" w:hAnsi="宋体" w:eastAsia="仿宋_GB2312"/>
          <w:color w:val="000000"/>
          <w:sz w:val="32"/>
          <w:szCs w:val="32"/>
        </w:rPr>
        <w:t>项目</w:t>
      </w:r>
      <w:r>
        <w:rPr>
          <w:rFonts w:hint="eastAsia" w:ascii="仿宋_GB2312" w:hAnsi="宋体" w:eastAsia="仿宋_GB2312"/>
          <w:color w:val="000000"/>
          <w:sz w:val="32"/>
          <w:szCs w:val="32"/>
        </w:rPr>
        <w:t>，通过规划建设公用热电联产项目实现集中供热。京津冀、长三角、珠三角等区域，规划工业热电联产项目优先采用燃气机组，燃煤热电项目必须采用背压机组，并严格实施煤炭等量或减量替代政策；对于现有工业抽凝热电机组，可通过上大压小方式，按照等容量、减煤量替代原则，</w:t>
      </w:r>
      <w:r>
        <w:rPr>
          <w:rFonts w:ascii="仿宋_GB2312" w:hAnsi="宋体" w:eastAsia="仿宋_GB2312"/>
          <w:color w:val="000000"/>
          <w:sz w:val="32"/>
          <w:szCs w:val="32"/>
        </w:rPr>
        <w:t>规划</w:t>
      </w:r>
      <w:r>
        <w:rPr>
          <w:rFonts w:hint="eastAsia" w:ascii="仿宋_GB2312" w:hAnsi="宋体" w:eastAsia="仿宋_GB2312"/>
          <w:color w:val="000000"/>
          <w:sz w:val="32"/>
          <w:szCs w:val="32"/>
        </w:rPr>
        <w:t>改建超临界及以上参数抽凝热电联产机组。新建工业项目禁止配套建设自备燃煤热电联产项目。</w:t>
      </w:r>
    </w:p>
    <w:p>
      <w:pPr>
        <w:tabs>
          <w:tab w:val="left" w:pos="1843"/>
        </w:tabs>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在已有（热</w:t>
      </w:r>
      <w:r>
        <w:rPr>
          <w:rFonts w:ascii="仿宋_GB2312" w:hAnsi="宋体" w:eastAsia="仿宋_GB2312"/>
          <w:color w:val="000000"/>
          <w:sz w:val="32"/>
          <w:szCs w:val="32"/>
        </w:rPr>
        <w:t>）</w:t>
      </w:r>
      <w:r>
        <w:rPr>
          <w:rFonts w:hint="eastAsia" w:ascii="仿宋_GB2312" w:hAnsi="宋体" w:eastAsia="仿宋_GB2312"/>
          <w:color w:val="000000"/>
          <w:sz w:val="32"/>
          <w:szCs w:val="32"/>
        </w:rPr>
        <w:t>电厂的供热范围内，且已有（</w:t>
      </w:r>
      <w:r>
        <w:rPr>
          <w:rFonts w:ascii="仿宋_GB2312" w:hAnsi="宋体" w:eastAsia="仿宋_GB2312"/>
          <w:color w:val="000000"/>
          <w:sz w:val="32"/>
          <w:szCs w:val="32"/>
        </w:rPr>
        <w:t>热</w:t>
      </w:r>
      <w:r>
        <w:rPr>
          <w:rFonts w:hint="eastAsia" w:ascii="仿宋_GB2312" w:hAnsi="宋体" w:eastAsia="仿宋_GB2312"/>
          <w:color w:val="000000"/>
          <w:sz w:val="32"/>
          <w:szCs w:val="32"/>
        </w:rPr>
        <w:t>）</w:t>
      </w:r>
      <w:r>
        <w:rPr>
          <w:rFonts w:ascii="仿宋_GB2312" w:hAnsi="宋体" w:eastAsia="仿宋_GB2312"/>
          <w:color w:val="000000"/>
          <w:sz w:val="32"/>
          <w:szCs w:val="32"/>
        </w:rPr>
        <w:t>电厂可满足</w:t>
      </w:r>
      <w:r>
        <w:rPr>
          <w:rFonts w:hint="eastAsia" w:ascii="仿宋_GB2312" w:hAnsi="宋体" w:eastAsia="仿宋_GB2312"/>
          <w:color w:val="000000"/>
          <w:sz w:val="32"/>
          <w:szCs w:val="32"/>
        </w:rPr>
        <w:t>或</w:t>
      </w:r>
      <w:r>
        <w:rPr>
          <w:rFonts w:ascii="仿宋_GB2312" w:hAnsi="宋体" w:eastAsia="仿宋_GB2312"/>
          <w:color w:val="000000"/>
          <w:sz w:val="32"/>
          <w:szCs w:val="32"/>
        </w:rPr>
        <w:t>改造后可满足</w:t>
      </w:r>
      <w:r>
        <w:rPr>
          <w:rFonts w:hint="eastAsia" w:ascii="仿宋_GB2312" w:hAnsi="宋体" w:eastAsia="仿宋_GB2312"/>
          <w:color w:val="000000"/>
          <w:sz w:val="32"/>
          <w:szCs w:val="32"/>
        </w:rPr>
        <w:t>工业项目热力需求，原则上不再重复规划建设热电联产项目（含企业自备电厂）。除经充分</w:t>
      </w:r>
      <w:r>
        <w:rPr>
          <w:rFonts w:ascii="仿宋_GB2312" w:hAnsi="宋体" w:eastAsia="仿宋_GB2312"/>
          <w:color w:val="000000"/>
          <w:sz w:val="32"/>
          <w:szCs w:val="32"/>
        </w:rPr>
        <w:t>评估论证</w:t>
      </w:r>
      <w:r>
        <w:rPr>
          <w:rFonts w:hint="eastAsia" w:ascii="仿宋_GB2312" w:hAnsi="宋体" w:eastAsia="仿宋_GB2312"/>
          <w:color w:val="000000"/>
          <w:sz w:val="32"/>
          <w:szCs w:val="32"/>
        </w:rPr>
        <w:t>后确有必要外，限制规划</w:t>
      </w:r>
      <w:r>
        <w:rPr>
          <w:rFonts w:ascii="仿宋_GB2312" w:hAnsi="宋体" w:eastAsia="仿宋_GB2312"/>
          <w:color w:val="000000"/>
          <w:sz w:val="32"/>
          <w:szCs w:val="32"/>
        </w:rPr>
        <w:t>建设</w:t>
      </w:r>
      <w:r>
        <w:rPr>
          <w:rFonts w:hint="eastAsia" w:ascii="仿宋_GB2312" w:hAnsi="宋体" w:eastAsia="仿宋_GB2312"/>
          <w:color w:val="000000"/>
          <w:sz w:val="32"/>
          <w:szCs w:val="32"/>
        </w:rPr>
        <w:t>仅为单一企业服务的自备热电联产项目。</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ascii="仿宋_GB2312" w:hAnsi="宋体" w:eastAsia="仿宋_GB2312"/>
          <w:color w:val="000000"/>
          <w:sz w:val="32"/>
          <w:szCs w:val="32"/>
        </w:rPr>
        <w:t>合理确定</w:t>
      </w:r>
      <w:r>
        <w:rPr>
          <w:rFonts w:hint="eastAsia" w:ascii="仿宋_GB2312" w:hAnsi="宋体" w:eastAsia="仿宋_GB2312"/>
          <w:color w:val="000000"/>
          <w:sz w:val="32"/>
          <w:szCs w:val="32"/>
        </w:rPr>
        <w:t>热电联产机组</w:t>
      </w:r>
      <w:r>
        <w:rPr>
          <w:rFonts w:ascii="仿宋_GB2312" w:hAnsi="宋体" w:eastAsia="仿宋_GB2312"/>
          <w:color w:val="000000"/>
          <w:sz w:val="32"/>
          <w:szCs w:val="32"/>
        </w:rPr>
        <w:t>供热</w:t>
      </w:r>
      <w:r>
        <w:rPr>
          <w:rFonts w:hint="eastAsia" w:ascii="仿宋_GB2312" w:hAnsi="宋体" w:eastAsia="仿宋_GB2312"/>
          <w:color w:val="000000"/>
          <w:sz w:val="32"/>
          <w:szCs w:val="32"/>
        </w:rPr>
        <w:t>范围。鼓励热电联产机组在技术经济合理的前提下，扩大供热范围。</w:t>
      </w:r>
    </w:p>
    <w:p>
      <w:pPr>
        <w:tabs>
          <w:tab w:val="left" w:pos="1843"/>
        </w:tabs>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以热水为供热介质的热电联产机组，供热半径一般按20公里考虑，供热范围内原则上不再另行规划建设抽凝热电联产机组。以蒸汽为供热介质的热电联产机组，供热半径一般按10公里考虑，供热范围内原则上不再另行规划建设其他热源点。</w:t>
      </w:r>
    </w:p>
    <w:p>
      <w:pPr>
        <w:numPr>
          <w:ilvl w:val="0"/>
          <w:numId w:val="1"/>
        </w:numPr>
        <w:tabs>
          <w:tab w:val="left" w:pos="1843"/>
        </w:tabs>
        <w:adjustRightInd w:val="0"/>
        <w:snapToGrid w:val="0"/>
        <w:spacing w:line="360" w:lineRule="auto"/>
        <w:ind w:left="0" w:firstLine="640" w:firstLineChars="200"/>
        <w:outlineLvl w:val="1"/>
        <w:rPr>
          <w:rFonts w:ascii="仿宋_GB2312" w:hAnsi="仿宋" w:eastAsia="仿宋_GB2312"/>
          <w:color w:val="000000"/>
          <w:sz w:val="32"/>
          <w:szCs w:val="32"/>
        </w:rPr>
      </w:pPr>
      <w:r>
        <w:rPr>
          <w:rFonts w:hint="eastAsia" w:ascii="仿宋_GB2312" w:hAnsi="宋体" w:eastAsia="仿宋_GB2312"/>
          <w:color w:val="000000"/>
          <w:sz w:val="32"/>
          <w:szCs w:val="32"/>
        </w:rPr>
        <w:t>优先对城市或工业园区周边具备改造条件且运行未满</w:t>
      </w:r>
      <w:r>
        <w:rPr>
          <w:rFonts w:hint="eastAsia" w:ascii="仿宋_GB2312" w:hAnsi="Times New Roman" w:eastAsia="仿宋_GB2312"/>
          <w:color w:val="000000"/>
          <w:sz w:val="32"/>
          <w:szCs w:val="32"/>
        </w:rPr>
        <w:t>15</w:t>
      </w:r>
      <w:r>
        <w:rPr>
          <w:rFonts w:hint="eastAsia" w:ascii="仿宋_GB2312" w:hAnsi="宋体" w:eastAsia="仿宋_GB2312"/>
          <w:color w:val="000000"/>
          <w:sz w:val="32"/>
          <w:szCs w:val="32"/>
        </w:rPr>
        <w:t>年的在役纯凝发电机组实施采暖供热改造。系统调峰困难地区，严格限制现役纯凝机组供热改造，确需供热改造满足采暖需求的，须同步安装蓄热装置，确保系统调峰安全。</w:t>
      </w:r>
    </w:p>
    <w:p>
      <w:pPr>
        <w:tabs>
          <w:tab w:val="left" w:pos="1843"/>
        </w:tabs>
        <w:adjustRightInd w:val="0"/>
        <w:snapToGrid w:val="0"/>
        <w:spacing w:line="360" w:lineRule="auto"/>
        <w:ind w:firstLine="640" w:firstLineChars="200"/>
        <w:outlineLvl w:val="1"/>
        <w:rPr>
          <w:rFonts w:ascii="仿宋_GB2312" w:hAnsi="仿宋" w:eastAsia="仿宋_GB2312"/>
          <w:color w:val="000000"/>
          <w:sz w:val="32"/>
          <w:szCs w:val="32"/>
        </w:rPr>
      </w:pPr>
      <w:r>
        <w:rPr>
          <w:rFonts w:hint="eastAsia" w:ascii="仿宋_GB2312" w:hAnsi="宋体" w:eastAsia="仿宋_GB2312"/>
          <w:color w:val="000000"/>
          <w:sz w:val="32"/>
          <w:szCs w:val="32"/>
        </w:rPr>
        <w:t>鼓励对热电联产机组实施技术改造，充分回收利用电厂余热，进一步提高供热能力，满足新增热负荷需求</w:t>
      </w:r>
      <w:r>
        <w:rPr>
          <w:rFonts w:ascii="仿宋_GB2312" w:hAnsi="宋体" w:eastAsia="仿宋_GB2312"/>
          <w:color w:val="000000"/>
          <w:sz w:val="32"/>
          <w:szCs w:val="32"/>
        </w:rPr>
        <w:t>。</w:t>
      </w:r>
    </w:p>
    <w:p>
      <w:pPr>
        <w:tabs>
          <w:tab w:val="left" w:pos="1843"/>
        </w:tabs>
        <w:adjustRightInd w:val="0"/>
        <w:snapToGrid w:val="0"/>
        <w:spacing w:line="360" w:lineRule="auto"/>
        <w:ind w:firstLine="640" w:firstLineChars="200"/>
        <w:outlineLvl w:val="1"/>
        <w:rPr>
          <w:rFonts w:ascii="仿宋_GB2312" w:hAnsi="仿宋" w:eastAsia="仿宋_GB2312"/>
          <w:color w:val="000000"/>
          <w:sz w:val="32"/>
          <w:szCs w:val="32"/>
        </w:rPr>
      </w:pPr>
      <w:r>
        <w:rPr>
          <w:rFonts w:hint="eastAsia" w:ascii="仿宋_GB2312" w:hAnsi="宋体" w:eastAsia="仿宋_GB2312"/>
          <w:color w:val="000000"/>
          <w:sz w:val="32"/>
          <w:szCs w:val="32"/>
        </w:rPr>
        <w:t>供热改造要因厂制宜</w:t>
      </w:r>
      <w:r>
        <w:rPr>
          <w:rFonts w:hint="eastAsia" w:ascii="仿宋_GB2312" w:hAnsi="仿宋" w:eastAsia="仿宋_GB2312"/>
          <w:color w:val="000000"/>
          <w:sz w:val="32"/>
          <w:szCs w:val="32"/>
        </w:rPr>
        <w:t>采用</w:t>
      </w:r>
      <w:r>
        <w:rPr>
          <w:rFonts w:ascii="仿宋_GB2312" w:hAnsi="仿宋" w:eastAsia="仿宋_GB2312"/>
          <w:color w:val="000000"/>
          <w:sz w:val="32"/>
          <w:szCs w:val="32"/>
        </w:rPr>
        <w:t>打孔抽</w:t>
      </w:r>
      <w:r>
        <w:rPr>
          <w:rFonts w:hint="eastAsia" w:ascii="仿宋_GB2312" w:hAnsi="仿宋" w:eastAsia="仿宋_GB2312"/>
          <w:color w:val="000000"/>
          <w:sz w:val="32"/>
          <w:szCs w:val="32"/>
        </w:rPr>
        <w:t>气、低真空供热、</w:t>
      </w:r>
      <w:r>
        <w:rPr>
          <w:rFonts w:hint="eastAsia" w:ascii="仿宋_GB2312" w:hAnsi="宋体" w:eastAsia="仿宋_GB2312"/>
          <w:color w:val="000000"/>
          <w:sz w:val="32"/>
          <w:szCs w:val="32"/>
        </w:rPr>
        <w:t>循环水余热利用</w:t>
      </w:r>
      <w:r>
        <w:rPr>
          <w:rFonts w:ascii="仿宋_GB2312" w:hAnsi="仿宋" w:eastAsia="仿宋_GB2312"/>
          <w:color w:val="000000"/>
          <w:sz w:val="32"/>
          <w:szCs w:val="32"/>
        </w:rPr>
        <w:t>等</w:t>
      </w:r>
      <w:r>
        <w:rPr>
          <w:rFonts w:hint="eastAsia" w:ascii="仿宋_GB2312" w:hAnsi="仿宋" w:eastAsia="仿宋_GB2312"/>
          <w:color w:val="000000"/>
          <w:sz w:val="32"/>
          <w:szCs w:val="32"/>
        </w:rPr>
        <w:t>成熟适用</w:t>
      </w:r>
      <w:r>
        <w:rPr>
          <w:rFonts w:ascii="仿宋_GB2312" w:hAnsi="仿宋" w:eastAsia="仿宋_GB2312"/>
          <w:color w:val="000000"/>
          <w:sz w:val="32"/>
          <w:szCs w:val="32"/>
        </w:rPr>
        <w:t>技术</w:t>
      </w:r>
      <w:r>
        <w:rPr>
          <w:rFonts w:hint="eastAsia" w:ascii="仿宋_GB2312" w:hAnsi="仿宋" w:eastAsia="仿宋_GB2312"/>
          <w:color w:val="000000"/>
          <w:sz w:val="32"/>
          <w:szCs w:val="32"/>
        </w:rPr>
        <w:t>，鼓励具备</w:t>
      </w:r>
      <w:r>
        <w:rPr>
          <w:rFonts w:ascii="仿宋_GB2312" w:hAnsi="仿宋" w:eastAsia="仿宋_GB2312"/>
          <w:color w:val="000000"/>
          <w:sz w:val="32"/>
          <w:szCs w:val="32"/>
        </w:rPr>
        <w:t>条件的机组改造为背压热电联产机组。</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鼓励因地制宜利用余热、余压、生物质能、地热能、太阳能、燃气等多种形式的清洁能源和可再生</w:t>
      </w:r>
      <w:r>
        <w:rPr>
          <w:rFonts w:ascii="仿宋_GB2312" w:hAnsi="宋体" w:eastAsia="仿宋_GB2312"/>
          <w:color w:val="000000"/>
          <w:sz w:val="32"/>
          <w:szCs w:val="32"/>
        </w:rPr>
        <w:t>能源</w:t>
      </w:r>
      <w:r>
        <w:rPr>
          <w:rFonts w:hint="eastAsia" w:ascii="仿宋_GB2312" w:hAnsi="宋体" w:eastAsia="仿宋_GB2312"/>
          <w:color w:val="000000"/>
          <w:sz w:val="32"/>
          <w:szCs w:val="32"/>
        </w:rPr>
        <w:t>供热方式。鼓励风电</w:t>
      </w:r>
      <w:r>
        <w:rPr>
          <w:rFonts w:ascii="仿宋_GB2312" w:hAnsi="宋体" w:eastAsia="仿宋_GB2312"/>
          <w:color w:val="000000"/>
          <w:sz w:val="32"/>
          <w:szCs w:val="32"/>
        </w:rPr>
        <w:t>、太阳能消纳困难地区</w:t>
      </w:r>
      <w:r>
        <w:rPr>
          <w:rFonts w:hint="eastAsia" w:ascii="仿宋_GB2312" w:hAnsi="宋体" w:eastAsia="仿宋_GB2312"/>
          <w:color w:val="000000"/>
          <w:sz w:val="32"/>
          <w:szCs w:val="32"/>
        </w:rPr>
        <w:t>探索</w:t>
      </w:r>
      <w:r>
        <w:rPr>
          <w:rFonts w:ascii="仿宋_GB2312" w:hAnsi="宋体" w:eastAsia="仿宋_GB2312"/>
          <w:color w:val="000000"/>
          <w:sz w:val="32"/>
          <w:szCs w:val="32"/>
        </w:rPr>
        <w:t>采用</w:t>
      </w:r>
      <w:r>
        <w:rPr>
          <w:rFonts w:hint="eastAsia" w:ascii="仿宋_GB2312" w:hAnsi="宋体" w:eastAsia="仿宋_GB2312"/>
          <w:color w:val="000000"/>
          <w:sz w:val="32"/>
          <w:szCs w:val="32"/>
        </w:rPr>
        <w:t>电采暖</w:t>
      </w:r>
      <w:r>
        <w:rPr>
          <w:rFonts w:ascii="仿宋_GB2312" w:hAnsi="宋体" w:eastAsia="仿宋_GB2312"/>
          <w:color w:val="000000"/>
          <w:sz w:val="32"/>
          <w:szCs w:val="32"/>
        </w:rPr>
        <w:t>、</w:t>
      </w:r>
      <w:r>
        <w:rPr>
          <w:rFonts w:hint="eastAsia" w:ascii="仿宋_GB2312" w:hAnsi="宋体" w:eastAsia="仿宋_GB2312"/>
          <w:color w:val="000000"/>
          <w:sz w:val="32"/>
          <w:szCs w:val="32"/>
        </w:rPr>
        <w:t>储热等</w:t>
      </w:r>
      <w:r>
        <w:rPr>
          <w:rFonts w:ascii="仿宋_GB2312" w:hAnsi="宋体" w:eastAsia="仿宋_GB2312"/>
          <w:color w:val="000000"/>
          <w:sz w:val="32"/>
          <w:szCs w:val="32"/>
        </w:rPr>
        <w:t>技术</w:t>
      </w:r>
      <w:r>
        <w:rPr>
          <w:rFonts w:hint="eastAsia" w:ascii="仿宋_GB2312" w:hAnsi="宋体" w:eastAsia="仿宋_GB2312"/>
          <w:color w:val="000000"/>
          <w:sz w:val="32"/>
          <w:szCs w:val="32"/>
        </w:rPr>
        <w:t>实施</w:t>
      </w:r>
      <w:r>
        <w:rPr>
          <w:rFonts w:ascii="仿宋_GB2312" w:hAnsi="宋体" w:eastAsia="仿宋_GB2312"/>
          <w:color w:val="000000"/>
          <w:sz w:val="32"/>
          <w:szCs w:val="32"/>
        </w:rPr>
        <w:t>供热。</w:t>
      </w:r>
      <w:r>
        <w:rPr>
          <w:rFonts w:hint="eastAsia" w:ascii="仿宋_GB2312" w:hAnsi="宋体" w:eastAsia="仿宋_GB2312"/>
          <w:color w:val="000000"/>
          <w:sz w:val="32"/>
          <w:szCs w:val="32"/>
        </w:rPr>
        <w:t>推广应用工业余热供热、热泵供热等先进供热技术。</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推进小热电机组科学整合，鼓励有条件的地区通过替代建设高效清洁供热热源等方式，逐步淘汰单机容量小、能耗高、污染重的燃煤小热电机组。</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为提高系统调峰能力，保障系统安全，热电联产机组应按照国家有关规定要求安装蓄热装置。</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新建抽凝燃煤</w:t>
      </w:r>
      <w:r>
        <w:rPr>
          <w:rFonts w:ascii="仿宋_GB2312" w:hAnsi="宋体" w:eastAsia="仿宋_GB2312"/>
          <w:color w:val="000000"/>
          <w:sz w:val="32"/>
          <w:szCs w:val="32"/>
        </w:rPr>
        <w:t>热电</w:t>
      </w:r>
      <w:r>
        <w:rPr>
          <w:rFonts w:hint="eastAsia" w:ascii="仿宋_GB2312" w:hAnsi="宋体" w:eastAsia="仿宋_GB2312"/>
          <w:color w:val="000000"/>
          <w:sz w:val="32"/>
          <w:szCs w:val="32"/>
        </w:rPr>
        <w:t>联产</w:t>
      </w:r>
      <w:r>
        <w:rPr>
          <w:rFonts w:ascii="仿宋_GB2312" w:hAnsi="宋体" w:eastAsia="仿宋_GB2312"/>
          <w:color w:val="000000"/>
          <w:sz w:val="32"/>
          <w:szCs w:val="32"/>
        </w:rPr>
        <w:t>项目</w:t>
      </w:r>
      <w:r>
        <w:rPr>
          <w:rFonts w:hint="eastAsia" w:ascii="仿宋_GB2312" w:hAnsi="宋体" w:eastAsia="仿宋_GB2312"/>
          <w:color w:val="000000"/>
          <w:sz w:val="32"/>
          <w:szCs w:val="32"/>
        </w:rPr>
        <w:t>与替代</w:t>
      </w:r>
      <w:r>
        <w:rPr>
          <w:rFonts w:ascii="仿宋_GB2312" w:hAnsi="宋体" w:eastAsia="仿宋_GB2312"/>
          <w:color w:val="000000"/>
          <w:sz w:val="32"/>
          <w:szCs w:val="32"/>
        </w:rPr>
        <w:t>关停</w:t>
      </w:r>
      <w:r>
        <w:rPr>
          <w:rFonts w:hint="eastAsia" w:ascii="仿宋_GB2312" w:hAnsi="宋体" w:eastAsia="仿宋_GB2312"/>
          <w:color w:val="000000"/>
          <w:sz w:val="32"/>
          <w:szCs w:val="32"/>
        </w:rPr>
        <w:t>燃煤</w:t>
      </w:r>
      <w:r>
        <w:rPr>
          <w:rFonts w:ascii="仿宋_GB2312" w:hAnsi="宋体" w:eastAsia="仿宋_GB2312"/>
          <w:color w:val="000000"/>
          <w:sz w:val="32"/>
          <w:szCs w:val="32"/>
        </w:rPr>
        <w:t>锅炉和小热电机组挂钩</w:t>
      </w:r>
      <w:r>
        <w:rPr>
          <w:rFonts w:hint="eastAsia" w:ascii="仿宋_GB2312" w:hAnsi="宋体" w:eastAsia="仿宋_GB2312"/>
          <w:color w:val="000000"/>
          <w:sz w:val="32"/>
          <w:szCs w:val="32"/>
        </w:rPr>
        <w:t>。新建抽凝燃煤</w:t>
      </w:r>
      <w:r>
        <w:rPr>
          <w:rFonts w:ascii="仿宋_GB2312" w:hAnsi="宋体" w:eastAsia="仿宋_GB2312"/>
          <w:color w:val="000000"/>
          <w:sz w:val="32"/>
          <w:szCs w:val="32"/>
        </w:rPr>
        <w:t>热电联产</w:t>
      </w:r>
      <w:r>
        <w:rPr>
          <w:rFonts w:hint="eastAsia" w:ascii="仿宋_GB2312" w:hAnsi="宋体" w:eastAsia="仿宋_GB2312"/>
          <w:color w:val="000000"/>
          <w:sz w:val="32"/>
          <w:szCs w:val="32"/>
        </w:rPr>
        <w:t>项目配套关停的燃煤锅炉容量原则上不低于新建机组最大抽汽供热能力的50%。替代关停的</w:t>
      </w:r>
      <w:r>
        <w:rPr>
          <w:rFonts w:ascii="仿宋_GB2312" w:hAnsi="宋体" w:eastAsia="仿宋_GB2312"/>
          <w:color w:val="000000"/>
          <w:sz w:val="32"/>
          <w:szCs w:val="32"/>
        </w:rPr>
        <w:t>小热电机组</w:t>
      </w:r>
      <w:r>
        <w:rPr>
          <w:rFonts w:hint="eastAsia" w:ascii="仿宋_GB2312" w:hAnsi="宋体" w:eastAsia="仿宋_GB2312"/>
          <w:color w:val="000000"/>
          <w:sz w:val="32"/>
          <w:szCs w:val="32"/>
        </w:rPr>
        <w:t>锅炉容量</w:t>
      </w:r>
      <w:r>
        <w:rPr>
          <w:rFonts w:ascii="仿宋_GB2312" w:hAnsi="宋体" w:eastAsia="仿宋_GB2312"/>
          <w:color w:val="000000"/>
          <w:sz w:val="32"/>
          <w:szCs w:val="32"/>
        </w:rPr>
        <w:t>按</w:t>
      </w:r>
      <w:r>
        <w:rPr>
          <w:rFonts w:hint="eastAsia" w:ascii="仿宋_GB2312" w:hAnsi="宋体" w:eastAsia="仿宋_GB2312"/>
          <w:color w:val="000000"/>
          <w:sz w:val="32"/>
          <w:szCs w:val="32"/>
        </w:rPr>
        <w:t>其额定</w:t>
      </w:r>
      <w:r>
        <w:rPr>
          <w:rFonts w:ascii="仿宋_GB2312" w:hAnsi="宋体" w:eastAsia="仿宋_GB2312"/>
          <w:color w:val="000000"/>
          <w:sz w:val="32"/>
          <w:szCs w:val="32"/>
        </w:rPr>
        <w:t>蒸发量计算。</w:t>
      </w:r>
      <w:r>
        <w:rPr>
          <w:rFonts w:hint="eastAsia" w:ascii="仿宋_GB2312" w:hAnsi="宋体" w:eastAsia="仿宋_GB2312"/>
          <w:color w:val="000000"/>
          <w:sz w:val="32"/>
          <w:szCs w:val="32"/>
        </w:rPr>
        <w:t>与新建热电联产项目配套关停的燃煤锅炉和小热电机组，</w:t>
      </w:r>
      <w:r>
        <w:rPr>
          <w:rFonts w:ascii="仿宋_GB2312" w:hAnsi="宋体" w:eastAsia="仿宋_GB2312"/>
          <w:color w:val="000000"/>
          <w:sz w:val="32"/>
          <w:szCs w:val="32"/>
        </w:rPr>
        <w:t>应在项目建成</w:t>
      </w:r>
      <w:r>
        <w:rPr>
          <w:rFonts w:hint="eastAsia" w:ascii="仿宋_GB2312" w:hAnsi="宋体" w:eastAsia="仿宋_GB2312"/>
          <w:color w:val="000000"/>
          <w:sz w:val="32"/>
          <w:szCs w:val="32"/>
        </w:rPr>
        <w:t>投产且稳定运行第2个采暖季前实施</w:t>
      </w:r>
      <w:r>
        <w:rPr>
          <w:rFonts w:ascii="仿宋_GB2312" w:hAnsi="宋体" w:eastAsia="仿宋_GB2312"/>
          <w:color w:val="000000"/>
          <w:sz w:val="32"/>
          <w:szCs w:val="32"/>
        </w:rPr>
        <w:t>拆除。</w:t>
      </w:r>
    </w:p>
    <w:p>
      <w:pPr>
        <w:tabs>
          <w:tab w:val="left" w:pos="1843"/>
        </w:tabs>
        <w:adjustRightInd w:val="0"/>
        <w:snapToGrid w:val="0"/>
        <w:spacing w:line="360" w:lineRule="auto"/>
        <w:ind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对于配套关停的燃煤锅炉</w:t>
      </w:r>
      <w:r>
        <w:rPr>
          <w:rFonts w:ascii="仿宋_GB2312" w:hAnsi="宋体" w:eastAsia="仿宋_GB2312"/>
          <w:color w:val="000000"/>
          <w:sz w:val="32"/>
          <w:szCs w:val="32"/>
        </w:rPr>
        <w:t>容量</w:t>
      </w:r>
      <w:r>
        <w:rPr>
          <w:rFonts w:hint="eastAsia" w:ascii="仿宋_GB2312" w:hAnsi="宋体" w:eastAsia="仿宋_GB2312"/>
          <w:color w:val="000000"/>
          <w:sz w:val="32"/>
          <w:szCs w:val="32"/>
        </w:rPr>
        <w:t>未</w:t>
      </w:r>
      <w:r>
        <w:rPr>
          <w:rFonts w:ascii="仿宋_GB2312" w:hAnsi="宋体" w:eastAsia="仿宋_GB2312"/>
          <w:color w:val="000000"/>
          <w:sz w:val="32"/>
          <w:szCs w:val="32"/>
        </w:rPr>
        <w:t>达到</w:t>
      </w:r>
      <w:r>
        <w:rPr>
          <w:rFonts w:hint="eastAsia" w:ascii="仿宋_GB2312" w:hAnsi="宋体" w:eastAsia="仿宋_GB2312"/>
          <w:color w:val="000000"/>
          <w:sz w:val="32"/>
          <w:szCs w:val="32"/>
        </w:rPr>
        <w:t>要求的新建热电联产项目，不得</w:t>
      </w:r>
      <w:r>
        <w:rPr>
          <w:rFonts w:ascii="仿宋_GB2312" w:hAnsi="宋体" w:eastAsia="仿宋_GB2312"/>
          <w:color w:val="000000"/>
          <w:sz w:val="32"/>
          <w:szCs w:val="32"/>
        </w:rPr>
        <w:t>纳入电力</w:t>
      </w:r>
      <w:r>
        <w:rPr>
          <w:rFonts w:hint="eastAsia" w:ascii="仿宋_GB2312" w:hAnsi="宋体" w:eastAsia="仿宋_GB2312"/>
          <w:color w:val="000000"/>
          <w:sz w:val="32"/>
          <w:szCs w:val="32"/>
        </w:rPr>
        <w:t>建设规划；对于配套关停的燃煤锅炉</w:t>
      </w:r>
      <w:r>
        <w:rPr>
          <w:rFonts w:ascii="仿宋_GB2312" w:hAnsi="宋体" w:eastAsia="仿宋_GB2312"/>
          <w:color w:val="000000"/>
          <w:sz w:val="32"/>
          <w:szCs w:val="32"/>
        </w:rPr>
        <w:t>容量</w:t>
      </w:r>
      <w:r>
        <w:rPr>
          <w:rFonts w:hint="eastAsia" w:ascii="仿宋_GB2312" w:hAnsi="宋体" w:eastAsia="仿宋_GB2312"/>
          <w:color w:val="000000"/>
          <w:sz w:val="32"/>
          <w:szCs w:val="32"/>
        </w:rPr>
        <w:t>较多</w:t>
      </w:r>
      <w:r>
        <w:rPr>
          <w:rFonts w:ascii="仿宋_GB2312" w:hAnsi="宋体" w:eastAsia="仿宋_GB2312"/>
          <w:color w:val="000000"/>
          <w:sz w:val="32"/>
          <w:szCs w:val="32"/>
        </w:rPr>
        <w:t>并</w:t>
      </w:r>
      <w:r>
        <w:rPr>
          <w:rFonts w:hint="eastAsia" w:ascii="仿宋_GB2312" w:hAnsi="宋体" w:eastAsia="仿宋_GB2312"/>
          <w:color w:val="000000"/>
          <w:sz w:val="32"/>
          <w:szCs w:val="32"/>
        </w:rPr>
        <w:t>能够</w:t>
      </w:r>
      <w:r>
        <w:rPr>
          <w:rFonts w:ascii="仿宋_GB2312" w:hAnsi="宋体" w:eastAsia="仿宋_GB2312"/>
          <w:color w:val="000000"/>
          <w:sz w:val="32"/>
          <w:szCs w:val="32"/>
        </w:rPr>
        <w:t>妥善</w:t>
      </w:r>
      <w:r>
        <w:rPr>
          <w:rFonts w:hint="eastAsia" w:ascii="仿宋_GB2312" w:hAnsi="宋体" w:eastAsia="仿宋_GB2312"/>
          <w:color w:val="000000"/>
          <w:sz w:val="32"/>
          <w:szCs w:val="32"/>
        </w:rPr>
        <w:t>安排关停企业职工</w:t>
      </w:r>
      <w:r>
        <w:rPr>
          <w:rFonts w:ascii="仿宋_GB2312" w:hAnsi="宋体" w:eastAsia="仿宋_GB2312"/>
          <w:color w:val="000000"/>
          <w:sz w:val="32"/>
          <w:szCs w:val="32"/>
        </w:rPr>
        <w:t>的</w:t>
      </w:r>
      <w:r>
        <w:rPr>
          <w:rFonts w:hint="eastAsia" w:ascii="仿宋_GB2312" w:hAnsi="宋体" w:eastAsia="仿宋_GB2312"/>
          <w:color w:val="000000"/>
          <w:sz w:val="32"/>
          <w:szCs w:val="32"/>
        </w:rPr>
        <w:t>新建热电联产</w:t>
      </w:r>
      <w:r>
        <w:rPr>
          <w:rFonts w:ascii="仿宋_GB2312" w:hAnsi="宋体" w:eastAsia="仿宋_GB2312"/>
          <w:color w:val="000000"/>
          <w:sz w:val="32"/>
          <w:szCs w:val="32"/>
        </w:rPr>
        <w:t>项目</w:t>
      </w:r>
      <w:r>
        <w:rPr>
          <w:rFonts w:hint="eastAsia" w:ascii="仿宋_GB2312" w:hAnsi="宋体" w:eastAsia="仿宋_GB2312"/>
          <w:color w:val="000000"/>
          <w:sz w:val="32"/>
          <w:szCs w:val="32"/>
        </w:rPr>
        <w:t>，</w:t>
      </w:r>
      <w:r>
        <w:rPr>
          <w:rFonts w:ascii="仿宋_GB2312" w:hAnsi="宋体" w:eastAsia="仿宋_GB2312"/>
          <w:color w:val="000000"/>
          <w:sz w:val="32"/>
          <w:szCs w:val="32"/>
        </w:rPr>
        <w:t>优先</w:t>
      </w:r>
      <w:r>
        <w:rPr>
          <w:rFonts w:hint="eastAsia" w:ascii="仿宋_GB2312" w:hAnsi="宋体" w:eastAsia="仿宋_GB2312"/>
          <w:color w:val="000000"/>
          <w:sz w:val="32"/>
          <w:szCs w:val="32"/>
        </w:rPr>
        <w:t>纳入电力建设规划</w:t>
      </w:r>
      <w:r>
        <w:rPr>
          <w:rFonts w:ascii="仿宋_GB2312" w:hAnsi="宋体" w:eastAsia="仿宋_GB2312"/>
          <w:color w:val="000000"/>
          <w:sz w:val="32"/>
          <w:szCs w:val="32"/>
        </w:rPr>
        <w:t>。</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各级政府应按照国务院固定资产投资项目核准有关规定，在国家依据总量控制制定的建设规划内核准抽凝燃煤热电联产项目。</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严格限制规划建设燃用石油焦、泥煤、油页岩等劣质燃料的热电联产项目。</w:t>
      </w:r>
    </w:p>
    <w:p>
      <w:pPr>
        <w:pStyle w:val="8"/>
        <w:adjustRightInd w:val="0"/>
        <w:snapToGrid w:val="0"/>
        <w:spacing w:beforeLines="50" w:afterLines="50" w:line="360" w:lineRule="auto"/>
        <w:ind w:firstLine="0" w:firstLineChars="0"/>
        <w:jc w:val="center"/>
        <w:outlineLvl w:val="0"/>
        <w:rPr>
          <w:rFonts w:ascii="黑体" w:hAnsi="黑体" w:eastAsia="黑体"/>
          <w:bCs/>
          <w:color w:val="000000"/>
          <w:sz w:val="32"/>
          <w:szCs w:val="32"/>
        </w:rPr>
      </w:pPr>
      <w:r>
        <w:rPr>
          <w:rFonts w:hint="eastAsia" w:ascii="黑体" w:hAnsi="黑体" w:eastAsia="黑体"/>
          <w:bCs/>
          <w:color w:val="000000"/>
          <w:sz w:val="32"/>
          <w:szCs w:val="32"/>
        </w:rPr>
        <w:t>第三章  机组选型</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对于城区</w:t>
      </w:r>
      <w:r>
        <w:rPr>
          <w:rFonts w:ascii="仿宋_GB2312" w:hAnsi="宋体" w:eastAsia="仿宋_GB2312"/>
          <w:color w:val="000000"/>
          <w:sz w:val="32"/>
          <w:szCs w:val="32"/>
        </w:rPr>
        <w:t>常住人口</w:t>
      </w:r>
      <w:r>
        <w:rPr>
          <w:rFonts w:hint="eastAsia" w:ascii="仿宋_GB2312" w:hAnsi="宋体" w:eastAsia="仿宋_GB2312"/>
          <w:color w:val="000000"/>
          <w:sz w:val="32"/>
          <w:szCs w:val="32"/>
        </w:rPr>
        <w:t>50万以下</w:t>
      </w:r>
      <w:r>
        <w:rPr>
          <w:rFonts w:ascii="仿宋_GB2312" w:hAnsi="宋体" w:eastAsia="仿宋_GB2312"/>
          <w:color w:val="000000"/>
          <w:sz w:val="32"/>
          <w:szCs w:val="32"/>
        </w:rPr>
        <w:t>的城市，</w:t>
      </w:r>
      <w:r>
        <w:rPr>
          <w:rFonts w:hint="eastAsia" w:ascii="仿宋_GB2312" w:hAnsi="宋体" w:eastAsia="仿宋_GB2312"/>
          <w:color w:val="000000"/>
          <w:sz w:val="32"/>
          <w:szCs w:val="32"/>
        </w:rPr>
        <w:t>采暖型</w:t>
      </w:r>
      <w:r>
        <w:rPr>
          <w:rFonts w:ascii="仿宋_GB2312" w:hAnsi="宋体" w:eastAsia="仿宋_GB2312"/>
          <w:color w:val="000000"/>
          <w:sz w:val="32"/>
          <w:szCs w:val="32"/>
        </w:rPr>
        <w:t>热电联产项目</w:t>
      </w:r>
      <w:r>
        <w:rPr>
          <w:rFonts w:hint="eastAsia" w:ascii="仿宋_GB2312" w:hAnsi="宋体" w:eastAsia="仿宋_GB2312"/>
          <w:color w:val="000000"/>
          <w:sz w:val="32"/>
          <w:szCs w:val="32"/>
        </w:rPr>
        <w:t>原则上采用单机5万千瓦及以下</w:t>
      </w:r>
      <w:r>
        <w:rPr>
          <w:rFonts w:ascii="仿宋_GB2312" w:hAnsi="宋体" w:eastAsia="仿宋_GB2312"/>
          <w:color w:val="000000"/>
          <w:sz w:val="32"/>
          <w:szCs w:val="32"/>
        </w:rPr>
        <w:t>背压热电联产机组</w:t>
      </w:r>
      <w:r>
        <w:rPr>
          <w:rFonts w:hint="eastAsia" w:ascii="仿宋_GB2312" w:hAnsi="宋体" w:eastAsia="仿宋_GB2312"/>
          <w:color w:val="000000"/>
          <w:sz w:val="32"/>
          <w:szCs w:val="32"/>
        </w:rPr>
        <w:t>。</w:t>
      </w:r>
    </w:p>
    <w:p>
      <w:pPr>
        <w:adjustRightInd w:val="0"/>
        <w:snapToGrid w:val="0"/>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按综合采暖热指标为50瓦/平米考虑，2台5万千瓦背压热电联产机组与调峰锅炉联合承担供热面积900万平米，2台2.5万千瓦背压热电联产机组与调峰锅炉联合承担供热面积500万平米，2台1.2万千瓦背压热电联产机组与调峰锅炉联合承担供热面积300万平米。</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对于城区</w:t>
      </w:r>
      <w:r>
        <w:rPr>
          <w:rFonts w:ascii="仿宋_GB2312" w:hAnsi="宋体" w:eastAsia="仿宋_GB2312"/>
          <w:color w:val="000000"/>
          <w:sz w:val="32"/>
          <w:szCs w:val="32"/>
        </w:rPr>
        <w:t>常住人口</w:t>
      </w:r>
      <w:r>
        <w:rPr>
          <w:rFonts w:hint="eastAsia" w:ascii="仿宋_GB2312" w:hAnsi="宋体" w:eastAsia="仿宋_GB2312"/>
          <w:color w:val="000000"/>
          <w:sz w:val="32"/>
          <w:szCs w:val="32"/>
        </w:rPr>
        <w:t>50万及以上</w:t>
      </w:r>
      <w:r>
        <w:rPr>
          <w:rFonts w:ascii="仿宋_GB2312" w:hAnsi="宋体" w:eastAsia="仿宋_GB2312"/>
          <w:color w:val="000000"/>
          <w:sz w:val="32"/>
          <w:szCs w:val="32"/>
        </w:rPr>
        <w:t>的城市，</w:t>
      </w:r>
      <w:r>
        <w:rPr>
          <w:rFonts w:hint="eastAsia" w:ascii="仿宋_GB2312" w:hAnsi="宋体" w:eastAsia="仿宋_GB2312"/>
          <w:color w:val="000000"/>
          <w:sz w:val="32"/>
          <w:szCs w:val="32"/>
        </w:rPr>
        <w:t>采暖型</w:t>
      </w:r>
      <w:r>
        <w:rPr>
          <w:rFonts w:ascii="仿宋_GB2312" w:hAnsi="宋体" w:eastAsia="仿宋_GB2312"/>
          <w:color w:val="000000"/>
          <w:sz w:val="32"/>
          <w:szCs w:val="32"/>
        </w:rPr>
        <w:t>热电联产项目</w:t>
      </w:r>
      <w:r>
        <w:rPr>
          <w:rFonts w:hint="eastAsia" w:ascii="仿宋_GB2312" w:hAnsi="宋体" w:eastAsia="仿宋_GB2312"/>
          <w:color w:val="000000"/>
          <w:sz w:val="32"/>
          <w:szCs w:val="32"/>
        </w:rPr>
        <w:t>优先采用5万千瓦</w:t>
      </w:r>
      <w:r>
        <w:rPr>
          <w:rFonts w:ascii="仿宋_GB2312" w:hAnsi="宋体" w:eastAsia="仿宋_GB2312"/>
          <w:color w:val="000000"/>
          <w:sz w:val="32"/>
          <w:szCs w:val="32"/>
        </w:rPr>
        <w:t>及以上背压热电联产机组</w:t>
      </w:r>
      <w:r>
        <w:rPr>
          <w:rFonts w:hint="eastAsia" w:ascii="仿宋_GB2312" w:hAnsi="宋体" w:eastAsia="仿宋_GB2312"/>
          <w:color w:val="000000"/>
          <w:sz w:val="32"/>
          <w:szCs w:val="32"/>
        </w:rPr>
        <w:t>。</w:t>
      </w:r>
    </w:p>
    <w:p>
      <w:pPr>
        <w:tabs>
          <w:tab w:val="left" w:pos="1843"/>
        </w:tabs>
        <w:adjustRightInd w:val="0"/>
        <w:snapToGrid w:val="0"/>
        <w:spacing w:line="360" w:lineRule="auto"/>
        <w:ind w:firstLine="640" w:firstLineChars="200"/>
        <w:outlineLvl w:val="1"/>
        <w:rPr>
          <w:rFonts w:ascii="仿宋_GB2312" w:hAnsi="宋体" w:eastAsia="仿宋_GB2312"/>
          <w:color w:val="000000"/>
          <w:sz w:val="32"/>
          <w:szCs w:val="32"/>
        </w:rPr>
      </w:pPr>
      <w:r>
        <w:rPr>
          <w:rFonts w:ascii="仿宋_GB2312" w:hAnsi="宋体" w:eastAsia="仿宋_GB2312"/>
          <w:color w:val="000000"/>
          <w:sz w:val="32"/>
          <w:szCs w:val="32"/>
        </w:rPr>
        <w:t>规划</w:t>
      </w:r>
      <w:r>
        <w:rPr>
          <w:rFonts w:hint="eastAsia" w:ascii="仿宋_GB2312" w:hAnsi="宋体" w:eastAsia="仿宋_GB2312"/>
          <w:color w:val="000000"/>
          <w:sz w:val="32"/>
          <w:szCs w:val="32"/>
        </w:rPr>
        <w:t>新建2台</w:t>
      </w:r>
      <w:r>
        <w:rPr>
          <w:rFonts w:ascii="仿宋_GB2312" w:hAnsi="宋体" w:eastAsia="仿宋_GB2312"/>
          <w:color w:val="000000"/>
          <w:sz w:val="32"/>
          <w:szCs w:val="32"/>
        </w:rPr>
        <w:t>30</w:t>
      </w:r>
      <w:r>
        <w:rPr>
          <w:rFonts w:hint="eastAsia" w:ascii="仿宋_GB2312" w:hAnsi="宋体" w:eastAsia="仿宋_GB2312"/>
          <w:color w:val="000000"/>
          <w:sz w:val="32"/>
          <w:szCs w:val="32"/>
        </w:rPr>
        <w:t>万千瓦级抽凝热电联产机组的，须</w:t>
      </w:r>
      <w:r>
        <w:rPr>
          <w:rFonts w:ascii="仿宋_GB2312" w:hAnsi="宋体" w:eastAsia="仿宋_GB2312"/>
          <w:color w:val="000000"/>
          <w:sz w:val="32"/>
          <w:szCs w:val="32"/>
        </w:rPr>
        <w:t>满足以下条件</w:t>
      </w:r>
      <w:r>
        <w:rPr>
          <w:rFonts w:hint="eastAsia" w:ascii="仿宋_GB2312" w:hAnsi="宋体" w:eastAsia="仿宋_GB2312"/>
          <w:color w:val="000000"/>
          <w:sz w:val="32"/>
          <w:szCs w:val="32"/>
        </w:rPr>
        <w:t>：</w:t>
      </w:r>
    </w:p>
    <w:p>
      <w:pPr>
        <w:adjustRightInd w:val="0"/>
        <w:snapToGrid w:val="0"/>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（一）机组预期</w:t>
      </w:r>
      <w:r>
        <w:rPr>
          <w:rFonts w:ascii="仿宋_GB2312" w:hAnsi="仿宋" w:eastAsia="仿宋_GB2312"/>
          <w:color w:val="000000"/>
          <w:sz w:val="32"/>
          <w:szCs w:val="32"/>
        </w:rPr>
        <w:t>投产</w:t>
      </w:r>
      <w:r>
        <w:rPr>
          <w:rFonts w:hint="eastAsia" w:ascii="仿宋_GB2312" w:hAnsi="仿宋" w:eastAsia="仿宋_GB2312"/>
          <w:color w:val="000000"/>
          <w:sz w:val="32"/>
          <w:szCs w:val="32"/>
        </w:rPr>
        <w:t>年，所在省（区、市）存在</w:t>
      </w:r>
      <w:r>
        <w:rPr>
          <w:rFonts w:ascii="仿宋_GB2312" w:hAnsi="仿宋" w:eastAsia="仿宋_GB2312"/>
          <w:color w:val="000000"/>
          <w:sz w:val="32"/>
          <w:szCs w:val="32"/>
        </w:rPr>
        <w:t>50</w:t>
      </w:r>
      <w:r>
        <w:rPr>
          <w:rFonts w:hint="eastAsia" w:ascii="仿宋_GB2312" w:hAnsi="仿宋" w:eastAsia="仿宋_GB2312"/>
          <w:color w:val="000000"/>
          <w:sz w:val="32"/>
          <w:szCs w:val="32"/>
        </w:rPr>
        <w:t>万千瓦</w:t>
      </w:r>
      <w:r>
        <w:rPr>
          <w:rFonts w:ascii="仿宋_GB2312" w:hAnsi="仿宋" w:eastAsia="仿宋_GB2312"/>
          <w:color w:val="000000"/>
          <w:sz w:val="32"/>
          <w:szCs w:val="32"/>
        </w:rPr>
        <w:t>及以上</w:t>
      </w:r>
      <w:r>
        <w:rPr>
          <w:rFonts w:hint="eastAsia" w:ascii="仿宋_GB2312" w:hAnsi="仿宋" w:eastAsia="仿宋_GB2312"/>
          <w:color w:val="000000"/>
          <w:sz w:val="32"/>
          <w:szCs w:val="32"/>
        </w:rPr>
        <w:t>电力负荷缺口。</w:t>
      </w:r>
    </w:p>
    <w:p>
      <w:pPr>
        <w:adjustRightInd w:val="0"/>
        <w:snapToGrid w:val="0"/>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（二）2台机组与调峰锅炉联合承担的供热面积达到1800万平米。</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采暖期热电比应</w:t>
      </w:r>
      <w:r>
        <w:rPr>
          <w:rFonts w:hint="eastAsia" w:ascii="仿宋_GB2312" w:hAnsi="宋体" w:eastAsia="仿宋_GB2312"/>
          <w:sz w:val="32"/>
          <w:szCs w:val="32"/>
        </w:rPr>
        <w:t>不低于80</w:t>
      </w:r>
      <w:r>
        <w:rPr>
          <w:rFonts w:ascii="仿宋_GB2312" w:hAnsi="宋体" w:eastAsia="仿宋_GB2312"/>
          <w:sz w:val="32"/>
          <w:szCs w:val="32"/>
        </w:rPr>
        <w:t>%。</w:t>
      </w:r>
    </w:p>
    <w:p>
      <w:pPr>
        <w:adjustRightInd w:val="0"/>
        <w:snapToGrid w:val="0"/>
        <w:spacing w:line="360" w:lineRule="auto"/>
        <w:ind w:firstLine="640" w:firstLineChars="200"/>
        <w:rPr>
          <w:rFonts w:ascii="仿宋_GB2312" w:hAnsi="仿宋" w:eastAsia="仿宋_GB2312"/>
          <w:color w:val="000000"/>
          <w:sz w:val="32"/>
          <w:szCs w:val="32"/>
        </w:rPr>
      </w:pPr>
      <w:r>
        <w:rPr>
          <w:rFonts w:hint="eastAsia" w:ascii="仿宋_GB2312" w:hAnsi="宋体" w:eastAsia="仿宋_GB2312"/>
          <w:sz w:val="32"/>
          <w:szCs w:val="32"/>
        </w:rPr>
        <w:t>（四）项目参与电力电量平衡，并纳入国家电力建设规划。</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工业热电联产项目优先采用高压及以上参数背压</w:t>
      </w:r>
      <w:r>
        <w:rPr>
          <w:rFonts w:ascii="仿宋_GB2312" w:hAnsi="宋体" w:eastAsia="仿宋_GB2312"/>
          <w:color w:val="000000"/>
          <w:sz w:val="32"/>
          <w:szCs w:val="32"/>
        </w:rPr>
        <w:t>热电联产机组</w:t>
      </w:r>
      <w:r>
        <w:rPr>
          <w:rFonts w:hint="eastAsia" w:ascii="仿宋_GB2312" w:hAnsi="宋体" w:eastAsia="仿宋_GB2312"/>
          <w:color w:val="000000"/>
          <w:sz w:val="32"/>
          <w:szCs w:val="32"/>
        </w:rPr>
        <w:t>。</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规划建设燃气-</w:t>
      </w:r>
      <w:r>
        <w:rPr>
          <w:rFonts w:ascii="仿宋_GB2312" w:hAnsi="宋体" w:eastAsia="仿宋_GB2312"/>
          <w:color w:val="000000"/>
          <w:sz w:val="32"/>
          <w:szCs w:val="32"/>
        </w:rPr>
        <w:t>蒸汽联合循环</w:t>
      </w:r>
      <w:r>
        <w:rPr>
          <w:rFonts w:hint="eastAsia" w:ascii="仿宋_GB2312" w:hAnsi="宋体" w:eastAsia="仿宋_GB2312"/>
          <w:color w:val="000000"/>
          <w:sz w:val="32"/>
          <w:szCs w:val="32"/>
        </w:rPr>
        <w:t>热电联产项目（以下简称“联合循环项目”）应以热电联产规划为依据，坚持以热定电，统筹考虑电网调峰要求、其他热源点的关停和规划建设等情况。采暖型联合循环项目供热期</w:t>
      </w:r>
      <w:r>
        <w:rPr>
          <w:rFonts w:ascii="仿宋_GB2312" w:hAnsi="宋体" w:eastAsia="仿宋_GB2312"/>
          <w:color w:val="000000"/>
          <w:sz w:val="32"/>
          <w:szCs w:val="32"/>
        </w:rPr>
        <w:t>热电比</w:t>
      </w:r>
      <w:r>
        <w:rPr>
          <w:rFonts w:hint="eastAsia" w:ascii="仿宋_GB2312" w:hAnsi="宋体" w:eastAsia="仿宋_GB2312"/>
          <w:color w:val="000000"/>
          <w:sz w:val="32"/>
          <w:szCs w:val="32"/>
        </w:rPr>
        <w:t>不低于60</w:t>
      </w:r>
      <w:r>
        <w:rPr>
          <w:rFonts w:ascii="仿宋_GB2312" w:hAnsi="宋体" w:eastAsia="仿宋_GB2312"/>
          <w:color w:val="000000"/>
          <w:sz w:val="32"/>
          <w:szCs w:val="32"/>
        </w:rPr>
        <w:t>%</w:t>
      </w:r>
      <w:r>
        <w:rPr>
          <w:rFonts w:hint="eastAsia" w:ascii="仿宋_GB2312" w:hAnsi="宋体" w:eastAsia="仿宋_GB2312"/>
          <w:color w:val="000000"/>
          <w:sz w:val="32"/>
          <w:szCs w:val="32"/>
        </w:rPr>
        <w:t>，供工业用汽型联合循环项目全年热电比不低于40%。机组选型</w:t>
      </w:r>
      <w:r>
        <w:rPr>
          <w:rFonts w:ascii="仿宋_GB2312" w:hAnsi="宋体" w:eastAsia="仿宋_GB2312"/>
          <w:color w:val="000000"/>
          <w:sz w:val="32"/>
          <w:szCs w:val="32"/>
        </w:rPr>
        <w:t>遵循以下原则：</w:t>
      </w:r>
    </w:p>
    <w:p>
      <w:pPr>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w:t>
      </w:r>
      <w:r>
        <w:rPr>
          <w:rFonts w:ascii="仿宋_GB2312" w:hAnsi="宋体" w:eastAsia="仿宋_GB2312"/>
          <w:color w:val="000000"/>
          <w:sz w:val="32"/>
          <w:szCs w:val="32"/>
        </w:rPr>
        <w:t>）</w:t>
      </w:r>
      <w:r>
        <w:rPr>
          <w:rFonts w:hint="eastAsia" w:ascii="仿宋_GB2312" w:hAnsi="宋体" w:eastAsia="仿宋_GB2312"/>
          <w:color w:val="000000"/>
          <w:sz w:val="32"/>
          <w:szCs w:val="32"/>
        </w:rPr>
        <w:t>采暖型联合循环项目</w:t>
      </w:r>
      <w:r>
        <w:rPr>
          <w:rFonts w:hint="eastAsia" w:ascii="仿宋_GB2312" w:hAnsi="仿宋" w:eastAsia="仿宋_GB2312"/>
          <w:color w:val="000000"/>
          <w:sz w:val="32"/>
          <w:szCs w:val="32"/>
        </w:rPr>
        <w:t>优先</w:t>
      </w:r>
      <w:r>
        <w:rPr>
          <w:rFonts w:hint="eastAsia" w:ascii="仿宋_GB2312" w:hAnsi="宋体" w:eastAsia="仿宋_GB2312"/>
          <w:color w:val="000000"/>
          <w:sz w:val="32"/>
          <w:szCs w:val="32"/>
        </w:rPr>
        <w:t>采用“凝抽背”式汽轮发电机组，工业联合循环项目可按“一抽一背”配置汽轮发电机组或采用背压式汽轮发电机组。</w:t>
      </w:r>
    </w:p>
    <w:p>
      <w:pPr>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w:t>
      </w:r>
      <w:r>
        <w:rPr>
          <w:rFonts w:ascii="仿宋_GB2312" w:hAnsi="宋体" w:eastAsia="仿宋_GB2312"/>
          <w:color w:val="000000"/>
          <w:sz w:val="32"/>
          <w:szCs w:val="32"/>
        </w:rPr>
        <w:t>）</w:t>
      </w:r>
      <w:r>
        <w:rPr>
          <w:rFonts w:hint="eastAsia" w:ascii="仿宋_GB2312" w:hAnsi="宋体" w:eastAsia="仿宋_GB2312"/>
          <w:color w:val="000000"/>
          <w:sz w:val="32"/>
          <w:szCs w:val="32"/>
        </w:rPr>
        <w:t>大型联合循环项目优先选用E级或F级及</w:t>
      </w:r>
      <w:r>
        <w:rPr>
          <w:rFonts w:ascii="仿宋_GB2312" w:hAnsi="宋体" w:eastAsia="仿宋_GB2312"/>
          <w:color w:val="000000"/>
          <w:sz w:val="32"/>
          <w:szCs w:val="32"/>
        </w:rPr>
        <w:t>以上等级燃气轮机</w:t>
      </w:r>
      <w:r>
        <w:rPr>
          <w:rFonts w:hint="eastAsia" w:ascii="仿宋_GB2312" w:hAnsi="宋体" w:eastAsia="仿宋_GB2312"/>
          <w:color w:val="000000"/>
          <w:sz w:val="32"/>
          <w:szCs w:val="32"/>
        </w:rPr>
        <w:t>组。</w:t>
      </w:r>
    </w:p>
    <w:p>
      <w:pPr>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w:t>
      </w:r>
      <w:r>
        <w:rPr>
          <w:rFonts w:ascii="仿宋_GB2312" w:hAnsi="宋体" w:eastAsia="仿宋_GB2312"/>
          <w:color w:val="000000"/>
          <w:sz w:val="32"/>
          <w:szCs w:val="32"/>
        </w:rPr>
        <w:t>）</w:t>
      </w:r>
      <w:r>
        <w:rPr>
          <w:rFonts w:hint="eastAsia" w:ascii="仿宋_GB2312" w:hAnsi="宋体" w:eastAsia="仿宋_GB2312"/>
          <w:color w:val="000000"/>
          <w:sz w:val="32"/>
          <w:szCs w:val="32"/>
        </w:rPr>
        <w:t>选用E级燃气轮机组</w:t>
      </w:r>
      <w:r>
        <w:rPr>
          <w:rFonts w:ascii="仿宋_GB2312" w:hAnsi="宋体" w:eastAsia="仿宋_GB2312"/>
          <w:color w:val="000000"/>
          <w:sz w:val="32"/>
          <w:szCs w:val="32"/>
        </w:rPr>
        <w:t>的</w:t>
      </w:r>
      <w:r>
        <w:rPr>
          <w:rFonts w:hint="eastAsia" w:ascii="仿宋_GB2312" w:hAnsi="宋体" w:eastAsia="仿宋_GB2312"/>
          <w:color w:val="000000"/>
          <w:sz w:val="32"/>
          <w:szCs w:val="32"/>
        </w:rPr>
        <w:t>，单套联合</w:t>
      </w:r>
      <w:r>
        <w:rPr>
          <w:rFonts w:ascii="仿宋_GB2312" w:hAnsi="宋体" w:eastAsia="仿宋_GB2312"/>
          <w:color w:val="000000"/>
          <w:sz w:val="32"/>
          <w:szCs w:val="32"/>
        </w:rPr>
        <w:t>循环</w:t>
      </w:r>
      <w:r>
        <w:rPr>
          <w:rFonts w:hint="eastAsia" w:ascii="仿宋_GB2312" w:hAnsi="宋体" w:eastAsia="仿宋_GB2312"/>
          <w:color w:val="000000"/>
          <w:sz w:val="32"/>
          <w:szCs w:val="32"/>
        </w:rPr>
        <w:t>机组承担的热负荷应不低于100吨/小时。</w:t>
      </w:r>
    </w:p>
    <w:p>
      <w:pPr>
        <w:adjustRightInd w:val="0"/>
        <w:snapToGrid w:val="0"/>
        <w:spacing w:line="360" w:lineRule="auto"/>
        <w:ind w:firstLine="608" w:firstLineChars="200"/>
        <w:rPr>
          <w:rFonts w:ascii="仿宋_GB2312" w:hAnsi="宋体" w:eastAsia="仿宋_GB2312"/>
          <w:color w:val="000000"/>
          <w:spacing w:val="-8"/>
          <w:sz w:val="32"/>
          <w:szCs w:val="32"/>
        </w:rPr>
      </w:pPr>
      <w:r>
        <w:rPr>
          <w:rFonts w:hint="eastAsia" w:ascii="仿宋_GB2312" w:hAnsi="宋体" w:eastAsia="仿宋_GB2312"/>
          <w:color w:val="000000"/>
          <w:spacing w:val="-8"/>
          <w:sz w:val="32"/>
          <w:szCs w:val="32"/>
        </w:rPr>
        <w:t>鼓励规划</w:t>
      </w:r>
      <w:r>
        <w:rPr>
          <w:rFonts w:ascii="仿宋_GB2312" w:hAnsi="宋体" w:eastAsia="仿宋_GB2312"/>
          <w:color w:val="000000"/>
          <w:spacing w:val="-8"/>
          <w:sz w:val="32"/>
          <w:szCs w:val="32"/>
        </w:rPr>
        <w:t>建设</w:t>
      </w:r>
      <w:r>
        <w:rPr>
          <w:rFonts w:hint="eastAsia" w:ascii="仿宋_GB2312" w:hAnsi="宋体" w:eastAsia="仿宋_GB2312"/>
          <w:color w:val="000000"/>
          <w:spacing w:val="-8"/>
          <w:sz w:val="32"/>
          <w:szCs w:val="32"/>
        </w:rPr>
        <w:t>天然气分布式能源项目，采用热电冷三联供技术</w:t>
      </w:r>
      <w:r>
        <w:rPr>
          <w:rFonts w:hint="eastAsia" w:ascii="仿宋_GB2312" w:hAnsi="仿宋" w:eastAsia="仿宋_GB2312"/>
          <w:color w:val="000000"/>
          <w:sz w:val="32"/>
          <w:szCs w:val="32"/>
        </w:rPr>
        <w:t>实现能源梯级利用，能源综合利用效率不低于70%</w:t>
      </w:r>
      <w:r>
        <w:rPr>
          <w:rFonts w:ascii="仿宋_GB2312" w:hAnsi="宋体" w:eastAsia="仿宋_GB2312"/>
          <w:color w:val="000000"/>
          <w:spacing w:val="-8"/>
          <w:sz w:val="32"/>
          <w:szCs w:val="32"/>
        </w:rPr>
        <w:t>。</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对于小电网范围内或</w:t>
      </w:r>
      <w:r>
        <w:rPr>
          <w:rFonts w:ascii="仿宋_GB2312" w:hAnsi="宋体" w:eastAsia="仿宋_GB2312"/>
          <w:color w:val="000000"/>
          <w:sz w:val="32"/>
          <w:szCs w:val="32"/>
        </w:rPr>
        <w:t>处于</w:t>
      </w:r>
      <w:r>
        <w:rPr>
          <w:rFonts w:hint="eastAsia" w:ascii="仿宋_GB2312" w:hAnsi="宋体" w:eastAsia="仿宋_GB2312"/>
          <w:color w:val="000000"/>
          <w:sz w:val="32"/>
          <w:szCs w:val="32"/>
        </w:rPr>
        <w:t>电网末端的城市，结合热力电力需求</w:t>
      </w:r>
      <w:r>
        <w:rPr>
          <w:rFonts w:ascii="仿宋_GB2312" w:hAnsi="宋体" w:eastAsia="仿宋_GB2312"/>
          <w:color w:val="000000"/>
          <w:sz w:val="32"/>
          <w:szCs w:val="32"/>
        </w:rPr>
        <w:t>和电网消纳能力</w:t>
      </w:r>
      <w:r>
        <w:rPr>
          <w:rFonts w:hint="eastAsia" w:ascii="仿宋_GB2312" w:hAnsi="宋体" w:eastAsia="仿宋_GB2312"/>
          <w:color w:val="000000"/>
          <w:sz w:val="32"/>
          <w:szCs w:val="32"/>
        </w:rPr>
        <w:t>，经充分评估论证后可适度规划建设中小型抽凝热电联产机组。</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在役</w:t>
      </w:r>
      <w:r>
        <w:rPr>
          <w:rFonts w:ascii="仿宋_GB2312" w:hAnsi="宋体" w:eastAsia="仿宋_GB2312"/>
          <w:color w:val="000000"/>
          <w:sz w:val="32"/>
          <w:szCs w:val="32"/>
        </w:rPr>
        <w:t>热电</w:t>
      </w:r>
      <w:r>
        <w:rPr>
          <w:rFonts w:hint="eastAsia" w:ascii="仿宋_GB2312" w:hAnsi="宋体" w:eastAsia="仿宋_GB2312"/>
          <w:color w:val="000000"/>
          <w:sz w:val="32"/>
          <w:szCs w:val="32"/>
        </w:rPr>
        <w:t>厂</w:t>
      </w:r>
      <w:r>
        <w:rPr>
          <w:rFonts w:ascii="仿宋_GB2312" w:hAnsi="宋体" w:eastAsia="仿宋_GB2312"/>
          <w:color w:val="000000"/>
          <w:sz w:val="32"/>
          <w:szCs w:val="32"/>
        </w:rPr>
        <w:t>扩建</w:t>
      </w:r>
      <w:r>
        <w:rPr>
          <w:rFonts w:hint="eastAsia" w:ascii="仿宋_GB2312" w:hAnsi="宋体" w:eastAsia="仿宋_GB2312"/>
          <w:color w:val="000000"/>
          <w:sz w:val="32"/>
          <w:szCs w:val="32"/>
        </w:rPr>
        <w:t>热电联产机组时</w:t>
      </w:r>
      <w:r>
        <w:rPr>
          <w:rFonts w:ascii="仿宋_GB2312" w:hAnsi="宋体" w:eastAsia="仿宋_GB2312"/>
          <w:color w:val="000000"/>
          <w:sz w:val="32"/>
          <w:szCs w:val="32"/>
        </w:rPr>
        <w:t>，</w:t>
      </w:r>
      <w:r>
        <w:rPr>
          <w:rFonts w:hint="eastAsia" w:ascii="仿宋_GB2312" w:hAnsi="宋体" w:eastAsia="仿宋_GB2312"/>
          <w:color w:val="000000"/>
          <w:sz w:val="32"/>
          <w:szCs w:val="32"/>
        </w:rPr>
        <w:t>原则上采用背压</w:t>
      </w:r>
      <w:r>
        <w:rPr>
          <w:rFonts w:ascii="仿宋_GB2312" w:hAnsi="宋体" w:eastAsia="仿宋_GB2312"/>
          <w:color w:val="000000"/>
          <w:sz w:val="32"/>
          <w:szCs w:val="32"/>
        </w:rPr>
        <w:t>热电联产机组</w:t>
      </w:r>
      <w:r>
        <w:rPr>
          <w:rFonts w:hint="eastAsia" w:ascii="仿宋_GB2312" w:hAnsi="宋体" w:eastAsia="仿宋_GB2312"/>
          <w:color w:val="000000"/>
          <w:sz w:val="32"/>
          <w:szCs w:val="32"/>
        </w:rPr>
        <w:t>。</w:t>
      </w:r>
    </w:p>
    <w:p>
      <w:pPr>
        <w:pStyle w:val="8"/>
        <w:adjustRightInd w:val="0"/>
        <w:snapToGrid w:val="0"/>
        <w:spacing w:beforeLines="50" w:afterLines="50" w:line="360" w:lineRule="auto"/>
        <w:ind w:firstLine="0" w:firstLineChars="0"/>
        <w:jc w:val="center"/>
        <w:outlineLvl w:val="0"/>
        <w:rPr>
          <w:rFonts w:ascii="黑体" w:hAnsi="黑体" w:eastAsia="黑体"/>
          <w:bCs/>
          <w:color w:val="000000"/>
          <w:sz w:val="32"/>
          <w:szCs w:val="32"/>
        </w:rPr>
      </w:pPr>
      <w:r>
        <w:rPr>
          <w:rFonts w:hint="eastAsia" w:ascii="黑体" w:hAnsi="黑体" w:eastAsia="黑体"/>
          <w:bCs/>
          <w:color w:val="000000"/>
          <w:sz w:val="32"/>
          <w:szCs w:val="32"/>
        </w:rPr>
        <w:t>第四章  网</w:t>
      </w:r>
      <w:r>
        <w:rPr>
          <w:rFonts w:ascii="黑体" w:hAnsi="黑体" w:eastAsia="黑体"/>
          <w:bCs/>
          <w:color w:val="000000"/>
          <w:sz w:val="32"/>
          <w:szCs w:val="32"/>
        </w:rPr>
        <w:t>源</w:t>
      </w:r>
      <w:r>
        <w:rPr>
          <w:rFonts w:hint="eastAsia" w:ascii="黑体" w:hAnsi="黑体" w:eastAsia="黑体"/>
          <w:bCs/>
          <w:color w:val="000000"/>
          <w:sz w:val="32"/>
          <w:szCs w:val="32"/>
        </w:rPr>
        <w:t>协调</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热电联产项目配套热网应与热电联产项目同步规划、同步建设、同步投产。对于存在安全隐患的老旧热网，应及时根据《国务院关于加强城市基础设施建设的意见》（国发[2013]36号）有关要求进行改造。鼓励热网企业参与投资建设背压热电机组，鼓励热电联产项目投资主体参与热</w:t>
      </w:r>
      <w:r>
        <w:rPr>
          <w:rFonts w:ascii="仿宋_GB2312" w:hAnsi="宋体" w:eastAsia="仿宋_GB2312"/>
          <w:color w:val="000000"/>
          <w:sz w:val="32"/>
          <w:szCs w:val="32"/>
        </w:rPr>
        <w:t>网</w:t>
      </w:r>
      <w:r>
        <w:rPr>
          <w:rFonts w:hint="eastAsia" w:ascii="仿宋_GB2312" w:hAnsi="宋体" w:eastAsia="仿宋_GB2312"/>
          <w:color w:val="000000"/>
          <w:sz w:val="32"/>
          <w:szCs w:val="32"/>
        </w:rPr>
        <w:t>的建设和经营。</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积极推进热电联产机组与供热锅炉协调规划、联合运行。调峰锅炉供热能力可按供热区最大热负荷的25%-40%考虑。热电联产机组承担基本热负荷，</w:t>
      </w:r>
      <w:r>
        <w:rPr>
          <w:rFonts w:hint="eastAsia" w:ascii="仿宋_GB2312" w:hAnsi="仿宋" w:eastAsia="仿宋_GB2312"/>
          <w:sz w:val="32"/>
          <w:szCs w:val="32"/>
        </w:rPr>
        <w:t>调峰锅炉承担尖峰热负荷，在热电联产机组能够满足供热需求时调峰锅炉原则上不得投入运行。</w:t>
      </w:r>
    </w:p>
    <w:p>
      <w:pPr>
        <w:tabs>
          <w:tab w:val="left" w:pos="1843"/>
        </w:tabs>
        <w:adjustRightInd w:val="0"/>
        <w:snapToGrid w:val="0"/>
        <w:spacing w:line="360" w:lineRule="auto"/>
        <w:ind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支持热电联产项目投资主体配套建设或兼并、重组、收购大型供热锅炉作为调峰锅炉。</w:t>
      </w:r>
      <w:r>
        <w:rPr>
          <w:rFonts w:hint="eastAsia" w:ascii="仿宋_GB2312" w:hAnsi="仿宋" w:eastAsia="仿宋_GB2312"/>
          <w:sz w:val="32"/>
          <w:szCs w:val="32"/>
        </w:rPr>
        <w:t xml:space="preserve"> </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地方政府应积极探索供热管理体制改革，着力整合当地供热资源，支持配套热网工程建设和老旧管网改造工程，加快推进供热区域热网互联互通，尽早实现各类热源联网运行，优先利用热电联产机组供热，充分发挥热电联产机组供热能力。</w:t>
      </w:r>
    </w:p>
    <w:p>
      <w:pPr>
        <w:pStyle w:val="8"/>
        <w:adjustRightInd w:val="0"/>
        <w:snapToGrid w:val="0"/>
        <w:spacing w:beforeLines="50" w:afterLines="50" w:line="360" w:lineRule="auto"/>
        <w:ind w:firstLine="0" w:firstLineChars="0"/>
        <w:jc w:val="center"/>
        <w:outlineLvl w:val="0"/>
        <w:rPr>
          <w:rFonts w:ascii="黑体" w:hAnsi="黑体" w:eastAsia="黑体"/>
          <w:bCs/>
          <w:color w:val="000000"/>
          <w:sz w:val="32"/>
          <w:szCs w:val="32"/>
        </w:rPr>
      </w:pPr>
      <w:r>
        <w:rPr>
          <w:rFonts w:hint="eastAsia" w:ascii="黑体" w:hAnsi="黑体" w:eastAsia="黑体"/>
          <w:bCs/>
          <w:color w:val="000000"/>
          <w:sz w:val="32"/>
          <w:szCs w:val="32"/>
        </w:rPr>
        <w:t>第五章  环境保护</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热电联产项目规划建设应</w:t>
      </w:r>
      <w:r>
        <w:rPr>
          <w:rFonts w:ascii="仿宋_GB2312" w:hAnsi="宋体" w:eastAsia="仿宋_GB2312"/>
          <w:color w:val="000000"/>
          <w:sz w:val="32"/>
          <w:szCs w:val="32"/>
        </w:rPr>
        <w:t>与燃煤锅炉治理同步推进，各地区</w:t>
      </w:r>
      <w:r>
        <w:rPr>
          <w:rFonts w:hint="eastAsia" w:ascii="仿宋_GB2312" w:hAnsi="宋体" w:eastAsia="仿宋_GB2312"/>
          <w:color w:val="000000"/>
          <w:sz w:val="32"/>
          <w:szCs w:val="32"/>
        </w:rPr>
        <w:t>因地制宜实施燃煤锅炉</w:t>
      </w:r>
      <w:r>
        <w:rPr>
          <w:rFonts w:ascii="仿宋_GB2312" w:hAnsi="宋体" w:eastAsia="仿宋_GB2312"/>
          <w:color w:val="000000"/>
          <w:sz w:val="32"/>
          <w:szCs w:val="32"/>
        </w:rPr>
        <w:t>和</w:t>
      </w:r>
      <w:r>
        <w:rPr>
          <w:rFonts w:hint="eastAsia" w:ascii="仿宋_GB2312" w:hAnsi="宋体" w:eastAsia="仿宋_GB2312"/>
          <w:color w:val="000000"/>
          <w:sz w:val="32"/>
          <w:szCs w:val="32"/>
        </w:rPr>
        <w:t>落后的热电机组替代关停。</w:t>
      </w:r>
    </w:p>
    <w:p>
      <w:pPr>
        <w:tabs>
          <w:tab w:val="left" w:pos="1843"/>
        </w:tabs>
        <w:adjustRightInd w:val="0"/>
        <w:snapToGrid w:val="0"/>
        <w:spacing w:line="360" w:lineRule="auto"/>
        <w:ind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加快替代关停以下燃煤锅炉和小热电机组：单台容量10蒸吨/小时（7兆瓦）及以下的燃煤锅炉，大中城市20蒸吨/小时（14兆瓦）及以下燃煤锅炉;除确需保留的以外，其他单台容量10蒸吨/小时（7兆瓦）以上的燃煤锅炉；污染物排放不符合国家最新环保标准且不实施环保改造的燃煤锅炉；单机容量10万千瓦以下的燃煤抽凝小热电机组。</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对于热电联产集中供热管网覆盖区域内的燃煤锅炉（调峰锅炉除外），原则上应予以关停或者拆除，应关停而未关停的，要达到燃气锅炉污染物排放限值</w:t>
      </w:r>
      <w:r>
        <w:rPr>
          <w:rFonts w:ascii="仿宋_GB2312" w:hAnsi="宋体" w:eastAsia="仿宋_GB2312"/>
          <w:color w:val="000000"/>
          <w:sz w:val="32"/>
          <w:szCs w:val="32"/>
        </w:rPr>
        <w:t>，安装污染物在线监测。</w:t>
      </w:r>
    </w:p>
    <w:p>
      <w:pPr>
        <w:tabs>
          <w:tab w:val="left" w:pos="1843"/>
        </w:tabs>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对于热电联产集中供热管网暂时不能覆盖、确有用热刚性需求的区域内具备改造条件的燃煤锅炉，要通过实施技术改造全面提升污染治理水平，确保污染物稳定达标排放。鼓励</w:t>
      </w:r>
      <w:r>
        <w:rPr>
          <w:rFonts w:ascii="仿宋_GB2312" w:hAnsi="宋体" w:eastAsia="仿宋_GB2312"/>
          <w:color w:val="000000"/>
          <w:sz w:val="32"/>
          <w:szCs w:val="32"/>
        </w:rPr>
        <w:t>加快</w:t>
      </w:r>
      <w:r>
        <w:rPr>
          <w:rFonts w:hint="eastAsia" w:ascii="仿宋_GB2312" w:hAnsi="宋体" w:eastAsia="仿宋_GB2312"/>
          <w:color w:val="000000"/>
          <w:sz w:val="32"/>
          <w:szCs w:val="32"/>
        </w:rPr>
        <w:t>实施煤改气</w:t>
      </w:r>
      <w:r>
        <w:rPr>
          <w:rFonts w:ascii="仿宋_GB2312" w:hAnsi="宋体" w:eastAsia="仿宋_GB2312"/>
          <w:color w:val="000000"/>
          <w:sz w:val="32"/>
          <w:szCs w:val="32"/>
        </w:rPr>
        <w:t>、煤改电</w:t>
      </w:r>
      <w:r>
        <w:rPr>
          <w:rFonts w:hint="eastAsia" w:ascii="仿宋_GB2312" w:hAnsi="宋体" w:eastAsia="仿宋_GB2312"/>
          <w:color w:val="000000"/>
          <w:sz w:val="32"/>
          <w:szCs w:val="32"/>
        </w:rPr>
        <w:t>、煤改生物质、煤改新能源等清洁化改造。燃煤锅炉应安装大气污染物排放在线监测装置。</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严格热电联产机组环保准入门槛，新建燃煤热电联产机组原则上达到超低排放水平。严格按照《建设项目主要污染物排放总量指标审核及管理暂行办法》（环发[2014]197号）实施污染物排放总量指标替代。支持同步开展大气污染物联合协同脱除，减少三氧化硫、汞、砷等污染物排放。</w:t>
      </w:r>
    </w:p>
    <w:p>
      <w:pPr>
        <w:tabs>
          <w:tab w:val="left" w:pos="1843"/>
        </w:tabs>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热电联产项目要根据环评批复及相关污染物排放标准规范制定企业自行监测方案，开展环境监测并公开相关监测信息。</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现役燃煤热电联产机组要安装高效脱硫、脱硝和除尘设施，未达标排放的要加快实施环保设施升级改造，确保满足最低技术出力以上全负荷、全时段稳定达标排放要求。按照国家节能减排有关要求，实施超低排放改造。</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大气污染防治重点区域新建燃煤热电联产项目，要严格实施煤炭减量替代。</w:t>
      </w:r>
    </w:p>
    <w:p>
      <w:pPr>
        <w:pStyle w:val="8"/>
        <w:adjustRightInd w:val="0"/>
        <w:snapToGrid w:val="0"/>
        <w:spacing w:beforeLines="50" w:afterLines="50" w:line="360" w:lineRule="auto"/>
        <w:ind w:firstLine="0" w:firstLineChars="0"/>
        <w:jc w:val="center"/>
        <w:outlineLvl w:val="0"/>
        <w:rPr>
          <w:rFonts w:ascii="黑体" w:hAnsi="黑体" w:eastAsia="黑体"/>
          <w:bCs/>
          <w:color w:val="000000"/>
          <w:sz w:val="32"/>
          <w:szCs w:val="32"/>
        </w:rPr>
      </w:pPr>
      <w:r>
        <w:rPr>
          <w:rFonts w:hint="eastAsia" w:ascii="黑体" w:hAnsi="黑体" w:eastAsia="黑体"/>
          <w:bCs/>
          <w:color w:val="000000"/>
          <w:sz w:val="32"/>
          <w:szCs w:val="32"/>
        </w:rPr>
        <w:t>第六章  政策措施</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鼓励各地建设背压热电联产机组和各种全部利用汽轮机乏汽热量的热电联产方式满足用热需求。背压燃煤热电联产机组建设容量不受国家燃煤电站总量控制目标限制。电网企业要优先为背压热电联产机组提供电网接入服务，确保机组与送出工程同步投产。</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省级价格主管部门可综合考虑本省煤炭消费总量控制目标、主要污染物排放总量控制目标和环境质量控制目标、终端用户承受能力、民生用热需求等因素，自主制定鼓励民生采暖型背压燃煤</w:t>
      </w:r>
      <w:r>
        <w:rPr>
          <w:rFonts w:ascii="仿宋_GB2312" w:hAnsi="宋体" w:eastAsia="仿宋_GB2312"/>
          <w:color w:val="000000"/>
          <w:sz w:val="32"/>
          <w:szCs w:val="32"/>
        </w:rPr>
        <w:t>热电联产机组</w:t>
      </w:r>
      <w:r>
        <w:rPr>
          <w:rFonts w:hint="eastAsia" w:ascii="仿宋_GB2312" w:hAnsi="宋体" w:eastAsia="仿宋_GB2312"/>
          <w:color w:val="000000"/>
          <w:sz w:val="32"/>
          <w:szCs w:val="32"/>
        </w:rPr>
        <w:t>发展的电价政策。</w:t>
      </w:r>
    </w:p>
    <w:p>
      <w:pPr>
        <w:tabs>
          <w:tab w:val="left" w:pos="1843"/>
        </w:tabs>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有条件的地区可试行</w:t>
      </w:r>
      <w:r>
        <w:rPr>
          <w:rFonts w:ascii="仿宋_GB2312" w:hAnsi="宋体" w:eastAsia="仿宋_GB2312"/>
          <w:color w:val="000000"/>
          <w:sz w:val="32"/>
          <w:szCs w:val="32"/>
        </w:rPr>
        <w:t>两部制上网电价</w:t>
      </w:r>
      <w:r>
        <w:rPr>
          <w:rFonts w:hint="eastAsia" w:ascii="仿宋_GB2312" w:hAnsi="宋体" w:eastAsia="仿宋_GB2312"/>
          <w:color w:val="000000"/>
          <w:sz w:val="32"/>
          <w:szCs w:val="32"/>
        </w:rPr>
        <w:t>。容量</w:t>
      </w:r>
      <w:r>
        <w:rPr>
          <w:rFonts w:ascii="仿宋_GB2312" w:hAnsi="宋体" w:eastAsia="仿宋_GB2312"/>
          <w:color w:val="000000"/>
          <w:sz w:val="32"/>
          <w:szCs w:val="32"/>
        </w:rPr>
        <w:t>电价</w:t>
      </w:r>
      <w:r>
        <w:rPr>
          <w:rFonts w:hint="eastAsia" w:ascii="仿宋_GB2312" w:hAnsi="宋体" w:eastAsia="仿宋_GB2312"/>
          <w:color w:val="000000"/>
          <w:sz w:val="32"/>
          <w:szCs w:val="32"/>
        </w:rPr>
        <w:t>以各类采暖型</w:t>
      </w:r>
      <w:r>
        <w:rPr>
          <w:rFonts w:ascii="仿宋_GB2312" w:hAnsi="宋体" w:eastAsia="仿宋_GB2312"/>
          <w:color w:val="000000"/>
          <w:sz w:val="32"/>
          <w:szCs w:val="32"/>
        </w:rPr>
        <w:t>背压</w:t>
      </w:r>
      <w:r>
        <w:rPr>
          <w:rFonts w:hint="eastAsia" w:ascii="仿宋_GB2312" w:hAnsi="宋体" w:eastAsia="仿宋_GB2312"/>
          <w:color w:val="000000"/>
          <w:sz w:val="32"/>
          <w:szCs w:val="32"/>
        </w:rPr>
        <w:t>燃煤</w:t>
      </w:r>
      <w:r>
        <w:rPr>
          <w:rFonts w:ascii="仿宋_GB2312" w:hAnsi="宋体" w:eastAsia="仿宋_GB2312"/>
          <w:color w:val="000000"/>
          <w:sz w:val="32"/>
          <w:szCs w:val="32"/>
        </w:rPr>
        <w:t>热电联产</w:t>
      </w:r>
      <w:r>
        <w:rPr>
          <w:rFonts w:hint="eastAsia" w:ascii="仿宋_GB2312" w:hAnsi="宋体" w:eastAsia="仿宋_GB2312"/>
          <w:color w:val="000000"/>
          <w:sz w:val="32"/>
          <w:szCs w:val="32"/>
        </w:rPr>
        <w:t>机组平均投资成本为基础，主要用于补偿非供热期停发造成的损失。电量</w:t>
      </w:r>
      <w:r>
        <w:rPr>
          <w:rFonts w:ascii="仿宋_GB2312" w:hAnsi="宋体" w:eastAsia="仿宋_GB2312"/>
          <w:color w:val="000000"/>
          <w:sz w:val="32"/>
          <w:szCs w:val="32"/>
        </w:rPr>
        <w:t>电价</w:t>
      </w:r>
      <w:r>
        <w:rPr>
          <w:rFonts w:hint="eastAsia" w:ascii="仿宋_GB2312" w:hAnsi="宋体" w:eastAsia="仿宋_GB2312"/>
          <w:color w:val="000000"/>
          <w:sz w:val="32"/>
          <w:szCs w:val="32"/>
        </w:rPr>
        <w:t>执行本地区标杆电价。</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热电联产机组的热力出厂价格，由政府价格主管部门在</w:t>
      </w:r>
      <w:r>
        <w:rPr>
          <w:rFonts w:ascii="仿宋_GB2312" w:hAnsi="宋体" w:eastAsia="仿宋_GB2312"/>
          <w:color w:val="000000"/>
          <w:sz w:val="32"/>
          <w:szCs w:val="32"/>
        </w:rPr>
        <w:t>考虑</w:t>
      </w:r>
      <w:r>
        <w:rPr>
          <w:rFonts w:hint="eastAsia" w:ascii="仿宋_GB2312" w:hAnsi="宋体" w:eastAsia="仿宋_GB2312"/>
          <w:color w:val="000000"/>
          <w:sz w:val="32"/>
          <w:szCs w:val="32"/>
        </w:rPr>
        <w:t>其</w:t>
      </w:r>
      <w:r>
        <w:rPr>
          <w:rFonts w:ascii="仿宋_GB2312" w:hAnsi="宋体" w:eastAsia="仿宋_GB2312"/>
          <w:color w:val="000000"/>
          <w:sz w:val="32"/>
          <w:szCs w:val="32"/>
        </w:rPr>
        <w:t>发电收益的基础上，</w:t>
      </w:r>
      <w:r>
        <w:rPr>
          <w:rFonts w:hint="eastAsia" w:ascii="仿宋_GB2312" w:hAnsi="宋体" w:eastAsia="仿宋_GB2312"/>
          <w:color w:val="000000"/>
          <w:sz w:val="32"/>
          <w:szCs w:val="32"/>
        </w:rPr>
        <w:t>按照合理补偿成本、合理确定收益的原则，依据供热成本及合理利润率或净资产收益率统一核定，鼓励各地根据本地实际情况探索建立市场化煤热联动机制。在考虑终端用户承受能力和当地民用用热需求前提下，热价要充分考虑企业环保成本，鼓励制定环保热价政策措施，并出台配套监管办法。深化推进供热计量收费改革。</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推动热力市场改革，对于工业供热，鼓励供热企业与用户直接交易，供热价格由企业与用户协商确定。“直管到户”的供热企业要负责二次热网的维修维护，费用纳入企业运营成本。</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仿宋" w:eastAsia="仿宋_GB2312"/>
          <w:sz w:val="32"/>
          <w:szCs w:val="32"/>
        </w:rPr>
        <w:t>支持相关业主以多种投融资模式参与建设背压热电联产机组。</w:t>
      </w:r>
      <w:r>
        <w:rPr>
          <w:rFonts w:hint="eastAsia" w:ascii="仿宋_GB2312" w:hAnsi="宋体" w:eastAsia="仿宋_GB2312"/>
          <w:color w:val="000000"/>
          <w:sz w:val="32"/>
          <w:szCs w:val="32"/>
        </w:rPr>
        <w:t>鼓励采暖型背压热电联产企业按照电力体制改革精神，成立售电售热一体化运营公司，优先向本区域内的用户售电和售热，售电业务按合理负担成本的原则向电网企业支付过网费。</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sz w:val="32"/>
          <w:szCs w:val="32"/>
        </w:rPr>
      </w:pPr>
      <w:r>
        <w:rPr>
          <w:rFonts w:hint="eastAsia" w:ascii="仿宋_GB2312" w:hAnsi="宋体" w:eastAsia="仿宋_GB2312"/>
          <w:sz w:val="32"/>
          <w:szCs w:val="32"/>
        </w:rPr>
        <w:t>热电联产机组所发电量按“以热定电”原则由电网企业优先收购。开展电力市场的地区，背压热电联产机组暂不参与市场竞争，所发电量全额优先上网并按</w:t>
      </w:r>
      <w:r>
        <w:rPr>
          <w:rFonts w:ascii="仿宋_GB2312" w:hAnsi="宋体" w:eastAsia="仿宋_GB2312"/>
          <w:sz w:val="32"/>
          <w:szCs w:val="32"/>
        </w:rPr>
        <w:t>政府定价</w:t>
      </w:r>
      <w:r>
        <w:rPr>
          <w:rFonts w:hint="eastAsia" w:ascii="仿宋_GB2312" w:hAnsi="宋体" w:eastAsia="仿宋_GB2312"/>
          <w:sz w:val="32"/>
          <w:szCs w:val="32"/>
        </w:rPr>
        <w:t>结算。抽凝热电联产机组参与市场竞争，按“以热定电”原则确定的上网电量优先上网并按市场价格进行结算。</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市场化调峰机制建立前，抽凝热电联产机组（含自备电厂机组）应提高调峰能力，积极参与电网调峰等辅助服务考核与补偿。鼓励热电机组配置蓄热、储能等设施实施深度调峰，并给予调峰补偿。鼓励有条件的地区对配置蓄热、储能等调峰设施的热电机组给予投资补贴。</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各级地方政府要继续按照“公平无歧视”原则加大供热支持力度，相同条件下各类热源应享有同等</w:t>
      </w:r>
      <w:r>
        <w:rPr>
          <w:rFonts w:ascii="仿宋_GB2312" w:hAnsi="宋体" w:eastAsia="仿宋_GB2312"/>
          <w:color w:val="000000"/>
          <w:sz w:val="32"/>
          <w:szCs w:val="32"/>
        </w:rPr>
        <w:t>的支持和保障政策。</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鼓励热电联产企业兼并、收购、重组供热范围内的热力企业。鼓励拥有供热锅炉、热力管网的热力企业采用股份制方式建设背压热电联产机组，相应关停小型供热锅炉。</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采暖型背压热电联产项目配套建设的调峰</w:t>
      </w:r>
      <w:r>
        <w:rPr>
          <w:rFonts w:ascii="仿宋_GB2312" w:hAnsi="宋体" w:eastAsia="仿宋_GB2312"/>
          <w:color w:val="000000"/>
          <w:sz w:val="32"/>
          <w:szCs w:val="32"/>
        </w:rPr>
        <w:t>锅炉，</w:t>
      </w:r>
      <w:r>
        <w:rPr>
          <w:rFonts w:hint="eastAsia" w:ascii="仿宋_GB2312" w:hAnsi="宋体" w:eastAsia="仿宋_GB2312"/>
          <w:color w:val="000000"/>
          <w:sz w:val="32"/>
          <w:szCs w:val="32"/>
        </w:rPr>
        <w:t>或项目</w:t>
      </w:r>
      <w:r>
        <w:rPr>
          <w:rFonts w:ascii="仿宋_GB2312" w:hAnsi="宋体" w:eastAsia="仿宋_GB2312"/>
          <w:color w:val="000000"/>
          <w:sz w:val="32"/>
          <w:szCs w:val="32"/>
        </w:rPr>
        <w:t>投资主体</w:t>
      </w:r>
      <w:r>
        <w:rPr>
          <w:rFonts w:hint="eastAsia" w:ascii="仿宋_GB2312" w:hAnsi="宋体" w:eastAsia="仿宋_GB2312"/>
          <w:color w:val="000000"/>
          <w:sz w:val="32"/>
          <w:szCs w:val="32"/>
        </w:rPr>
        <w:t>兼并、重组、收购的调峰锅炉，</w:t>
      </w:r>
      <w:r>
        <w:rPr>
          <w:rFonts w:ascii="仿宋_GB2312" w:hAnsi="宋体" w:eastAsia="仿宋_GB2312"/>
          <w:color w:val="000000"/>
          <w:sz w:val="32"/>
          <w:szCs w:val="32"/>
        </w:rPr>
        <w:t>其</w:t>
      </w:r>
      <w:r>
        <w:rPr>
          <w:rFonts w:hint="eastAsia" w:ascii="仿宋_GB2312" w:hAnsi="宋体" w:eastAsia="仿宋_GB2312"/>
          <w:color w:val="000000"/>
          <w:sz w:val="32"/>
          <w:szCs w:val="32"/>
        </w:rPr>
        <w:t>生产</w:t>
      </w:r>
      <w:r>
        <w:rPr>
          <w:rFonts w:ascii="仿宋_GB2312" w:hAnsi="宋体" w:eastAsia="仿宋_GB2312"/>
          <w:color w:val="000000"/>
          <w:sz w:val="32"/>
          <w:szCs w:val="32"/>
        </w:rPr>
        <w:t>运行所需电量</w:t>
      </w:r>
      <w:r>
        <w:rPr>
          <w:rFonts w:hint="eastAsia" w:ascii="仿宋_GB2312" w:hAnsi="宋体" w:eastAsia="仿宋_GB2312"/>
          <w:color w:val="000000"/>
          <w:sz w:val="32"/>
          <w:szCs w:val="32"/>
        </w:rPr>
        <w:t>可与本企业上网电量进行抵扣</w:t>
      </w:r>
      <w:r>
        <w:rPr>
          <w:rFonts w:ascii="仿宋_GB2312" w:hAnsi="宋体" w:eastAsia="仿宋_GB2312"/>
          <w:color w:val="000000"/>
          <w:sz w:val="32"/>
          <w:szCs w:val="32"/>
        </w:rPr>
        <w:t>。</w:t>
      </w:r>
    </w:p>
    <w:p>
      <w:pPr>
        <w:pStyle w:val="8"/>
        <w:adjustRightInd w:val="0"/>
        <w:snapToGrid w:val="0"/>
        <w:spacing w:beforeLines="50" w:afterLines="50" w:line="360" w:lineRule="auto"/>
        <w:ind w:firstLine="0" w:firstLineChars="0"/>
        <w:jc w:val="center"/>
        <w:outlineLvl w:val="0"/>
        <w:rPr>
          <w:rFonts w:ascii="黑体" w:hAnsi="黑体" w:eastAsia="黑体"/>
          <w:bCs/>
          <w:color w:val="000000"/>
          <w:sz w:val="32"/>
          <w:szCs w:val="32"/>
        </w:rPr>
      </w:pPr>
      <w:r>
        <w:rPr>
          <w:rFonts w:hint="eastAsia" w:ascii="黑体" w:hAnsi="黑体" w:eastAsia="黑体"/>
          <w:bCs/>
          <w:color w:val="000000"/>
          <w:sz w:val="32"/>
          <w:szCs w:val="32"/>
        </w:rPr>
        <w:t>第七章  监督管理</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省级能源主管部门要切实履行行业管理职能，会同经济运行、环保、住建、国家能源局派出机构等部门对本地区热电联产机组的前期、建设、运营、退出等环节实施闭环管理，确保热电联产机组各项条件满足有关要求。</w:t>
      </w:r>
    </w:p>
    <w:p>
      <w:pPr>
        <w:tabs>
          <w:tab w:val="left" w:pos="1843"/>
        </w:tabs>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每年一季度，省级能源主管部门、经济运行部门要将本地区上年度热电联产项目投产、在建、规划情况报告国家发改委、国家能源局，并抄报环境保护部、住房城乡建设部。</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省级能源主管部门、经济运行部门要会同环保、住建、国家能源局派出机构等有关部门，健全完善热电联产项目检查核验制度，定期对热电联产项目检查核验，重点检查煤炭等量替代、关停燃煤锅炉和小热电机组等落实情况。</w:t>
      </w:r>
    </w:p>
    <w:p>
      <w:pPr>
        <w:tabs>
          <w:tab w:val="left" w:pos="1843"/>
        </w:tabs>
        <w:adjustRightInd w:val="0"/>
        <w:snapToGrid w:val="0"/>
        <w:spacing w:line="360" w:lineRule="auto"/>
        <w:ind w:firstLine="640"/>
        <w:outlineLvl w:val="1"/>
        <w:rPr>
          <w:rFonts w:ascii="仿宋_GB2312" w:hAnsi="宋体" w:eastAsia="仿宋_GB2312"/>
          <w:color w:val="000000"/>
          <w:sz w:val="32"/>
          <w:szCs w:val="32"/>
        </w:rPr>
      </w:pPr>
      <w:r>
        <w:rPr>
          <w:rFonts w:hint="eastAsia" w:ascii="仿宋_GB2312" w:hAnsi="宋体" w:eastAsia="仿宋_GB2312"/>
          <w:color w:val="000000"/>
          <w:sz w:val="32"/>
          <w:szCs w:val="32"/>
        </w:rPr>
        <w:t>对新建热电联产项目按要求应配套关停燃煤锅炉、小热电机组但未落实的，或未按照煤炭替代等有关要求建设热电联产项目的，暂缓审批项目所在地区燃煤项目，并追究有关人员责任。</w:t>
      </w:r>
    </w:p>
    <w:p>
      <w:pPr>
        <w:tabs>
          <w:tab w:val="left" w:pos="1843"/>
        </w:tabs>
        <w:adjustRightInd w:val="0"/>
        <w:snapToGrid w:val="0"/>
        <w:spacing w:line="360" w:lineRule="auto"/>
        <w:ind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符合国家有关规定和项目核准要求的，可享受国家和地方制定的优惠政策。不符合要求的，责令其限期整改，并通知有关部门取消其已享受的优惠政策。</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省级价格主管部门要对本地区热电联产机组电价、热价执行情况进行定期核查，确保电价支持政策落实到位。对于采用供热计量收费的建筑，要严查供热计量收费的收费滞后和欠费问题，确保供热计量收费有序推广。</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省级质检、住建、工信、环保等部门结合自身职能负责本地区燃煤锅炉的运行管理及淘汰等相关工作，督促地方政府对不符合产业政策的燃煤锅炉实施改造或关停。</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地方环保部门要严格辖区新建热电联产项目环评审批，强化热电联产机组和供热锅炉的大气污染物排放监管，对排放不达标、不符合总量控制要求的燃煤设施督促整改。</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电网公司、电力调度机构应督促热电联产企业安装热力负荷实时在线监测装置并与电力调度机构联网，按“以热定电”原则对热电联产机组实施优先调度。</w:t>
      </w:r>
    </w:p>
    <w:p>
      <w:pPr>
        <w:numPr>
          <w:ilvl w:val="0"/>
          <w:numId w:val="1"/>
        </w:numPr>
        <w:tabs>
          <w:tab w:val="left" w:pos="1843"/>
        </w:tabs>
        <w:adjustRightInd w:val="0"/>
        <w:snapToGrid w:val="0"/>
        <w:spacing w:line="360" w:lineRule="auto"/>
        <w:ind w:left="0" w:firstLine="640" w:firstLineChars="200"/>
        <w:outlineLvl w:val="1"/>
        <w:rPr>
          <w:rFonts w:ascii="仿宋_GB2312" w:hAnsi="宋体" w:eastAsia="仿宋_GB2312"/>
          <w:color w:val="000000"/>
          <w:sz w:val="32"/>
          <w:szCs w:val="32"/>
        </w:rPr>
      </w:pPr>
      <w:r>
        <w:rPr>
          <w:rFonts w:hint="eastAsia" w:ascii="仿宋_GB2312" w:hAnsi="宋体" w:eastAsia="仿宋_GB2312"/>
          <w:color w:val="000000"/>
          <w:sz w:val="32"/>
          <w:szCs w:val="32"/>
        </w:rPr>
        <w:t>各地经济运行部门、国家能源局派出机构要会同有关部门，对热电联产机组接入电网、优先调度、以热定电，以及符合规划建设要求的情况实行监管，发现问题及时反馈主管部门进行处理，并向有关方面进行通报，重大问题及时报国家发展改革委、国家能源局。</w:t>
      </w:r>
    </w:p>
    <w:p>
      <w:pPr>
        <w:tabs>
          <w:tab w:val="left" w:pos="1843"/>
        </w:tabs>
        <w:adjustRightInd w:val="0"/>
        <w:snapToGrid w:val="0"/>
        <w:spacing w:line="360" w:lineRule="auto"/>
        <w:ind w:left="640"/>
        <w:outlineLvl w:val="1"/>
        <w:rPr>
          <w:rFonts w:ascii="仿宋_GB2312" w:hAnsi="宋体" w:eastAsia="仿宋_GB2312"/>
          <w:color w:val="000000"/>
          <w:sz w:val="32"/>
          <w:szCs w:val="32"/>
        </w:rPr>
      </w:pPr>
    </w:p>
    <w:p>
      <w:pPr>
        <w:tabs>
          <w:tab w:val="left" w:pos="260"/>
        </w:tabs>
        <w:rPr>
          <w:rFonts w:ascii="仿宋_GB2312" w:eastAsia="仿宋_GB2312"/>
          <w:sz w:val="32"/>
          <w:szCs w:val="32"/>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38002897">
    <w:nsid w:val="797974D1"/>
    <w:multiLevelType w:val="multilevel"/>
    <w:tmpl w:val="797974D1"/>
    <w:lvl w:ilvl="0" w:tentative="1">
      <w:start w:val="1"/>
      <w:numFmt w:val="japaneseCounting"/>
      <w:lvlText w:val="第%1条"/>
      <w:lvlJc w:val="left"/>
      <w:pPr>
        <w:ind w:left="2226" w:hanging="1800"/>
      </w:pPr>
      <w:rPr>
        <w:rFonts w:hint="default"/>
        <w:b/>
        <w:color w:val="auto"/>
        <w:lang w:val="en-US"/>
      </w:rPr>
    </w:lvl>
    <w:lvl w:ilvl="1" w:tentative="1">
      <w:start w:val="1"/>
      <w:numFmt w:val="lowerLetter"/>
      <w:lvlText w:val="%2)"/>
      <w:lvlJc w:val="left"/>
      <w:pPr>
        <w:ind w:left="1408" w:hanging="420"/>
      </w:pPr>
    </w:lvl>
    <w:lvl w:ilvl="2" w:tentative="1">
      <w:start w:val="1"/>
      <w:numFmt w:val="lowerRoman"/>
      <w:lvlText w:val="%3."/>
      <w:lvlJc w:val="right"/>
      <w:pPr>
        <w:ind w:left="1828" w:hanging="420"/>
      </w:pPr>
    </w:lvl>
    <w:lvl w:ilvl="3" w:tentative="1">
      <w:start w:val="1"/>
      <w:numFmt w:val="decimal"/>
      <w:lvlText w:val="%4."/>
      <w:lvlJc w:val="left"/>
      <w:pPr>
        <w:ind w:left="2248" w:hanging="420"/>
      </w:pPr>
    </w:lvl>
    <w:lvl w:ilvl="4" w:tentative="1">
      <w:start w:val="1"/>
      <w:numFmt w:val="lowerLetter"/>
      <w:lvlText w:val="%5)"/>
      <w:lvlJc w:val="left"/>
      <w:pPr>
        <w:ind w:left="2668" w:hanging="420"/>
      </w:pPr>
    </w:lvl>
    <w:lvl w:ilvl="5" w:tentative="1">
      <w:start w:val="1"/>
      <w:numFmt w:val="lowerRoman"/>
      <w:lvlText w:val="%6."/>
      <w:lvlJc w:val="right"/>
      <w:pPr>
        <w:ind w:left="3088" w:hanging="420"/>
      </w:pPr>
    </w:lvl>
    <w:lvl w:ilvl="6" w:tentative="1">
      <w:start w:val="1"/>
      <w:numFmt w:val="decimal"/>
      <w:lvlText w:val="%7."/>
      <w:lvlJc w:val="left"/>
      <w:pPr>
        <w:ind w:left="3508" w:hanging="420"/>
      </w:pPr>
    </w:lvl>
    <w:lvl w:ilvl="7" w:tentative="1">
      <w:start w:val="1"/>
      <w:numFmt w:val="lowerLetter"/>
      <w:lvlText w:val="%8)"/>
      <w:lvlJc w:val="left"/>
      <w:pPr>
        <w:ind w:left="3928" w:hanging="420"/>
      </w:pPr>
    </w:lvl>
    <w:lvl w:ilvl="8" w:tentative="1">
      <w:start w:val="1"/>
      <w:numFmt w:val="lowerRoman"/>
      <w:lvlText w:val="%9."/>
      <w:lvlJc w:val="right"/>
      <w:pPr>
        <w:ind w:left="4348" w:hanging="420"/>
      </w:pPr>
    </w:lvl>
  </w:abstractNum>
  <w:num w:numId="1">
    <w:abstractNumId w:val="20380028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paragraph" w:styleId="2">
    <w:name w:val="Body Text Indent 2"/>
    <w:basedOn w:val="1"/>
    <w:link w:val="12"/>
    <w:unhideWhenUsed/>
    <w:uiPriority w:val="0"/>
    <w:pPr>
      <w:snapToGrid w:val="0"/>
      <w:spacing w:line="360" w:lineRule="auto"/>
      <w:ind w:firstLine="643" w:firstLineChars="200"/>
    </w:pPr>
    <w:rPr>
      <w:rFonts w:ascii="仿宋_GB2312" w:hAnsi="Times New Roman" w:eastAsia="仿宋_GB2312" w:cs="Times New Roman"/>
      <w:b/>
      <w:kern w:val="0"/>
      <w:sz w:val="32"/>
      <w:szCs w:val="24"/>
    </w:rPr>
  </w:style>
  <w:style w:type="paragraph" w:styleId="3">
    <w:name w:val="Balloon Text"/>
    <w:basedOn w:val="1"/>
    <w:link w:val="11"/>
    <w:semiHidden/>
    <w:unhideWhenUsed/>
    <w:uiPriority w:val="99"/>
    <w:rPr>
      <w:sz w:val="18"/>
      <w:szCs w:val="18"/>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List Paragraph"/>
    <w:basedOn w:val="1"/>
    <w:qFormat/>
    <w:uiPriority w:val="34"/>
    <w:pPr>
      <w:ind w:firstLine="420" w:firstLineChars="200"/>
    </w:pPr>
    <w:rPr>
      <w:rFonts w:ascii="Calibri" w:hAnsi="Calibri" w:eastAsia="宋体" w:cs="Times New Roman"/>
    </w:rPr>
  </w:style>
  <w:style w:type="character" w:customStyle="1" w:styleId="9">
    <w:name w:val="页眉 Char Char"/>
    <w:basedOn w:val="7"/>
    <w:link w:val="5"/>
    <w:uiPriority w:val="99"/>
    <w:rPr>
      <w:sz w:val="18"/>
      <w:szCs w:val="18"/>
    </w:rPr>
  </w:style>
  <w:style w:type="character" w:customStyle="1" w:styleId="10">
    <w:name w:val="页脚 Char Char"/>
    <w:basedOn w:val="7"/>
    <w:link w:val="4"/>
    <w:uiPriority w:val="99"/>
    <w:rPr>
      <w:sz w:val="18"/>
      <w:szCs w:val="18"/>
    </w:rPr>
  </w:style>
  <w:style w:type="character" w:customStyle="1" w:styleId="11">
    <w:name w:val="批注框文本 Char Char"/>
    <w:basedOn w:val="7"/>
    <w:link w:val="3"/>
    <w:uiPriority w:val="99"/>
    <w:rPr>
      <w:sz w:val="18"/>
      <w:szCs w:val="18"/>
    </w:rPr>
  </w:style>
  <w:style w:type="character" w:customStyle="1" w:styleId="12">
    <w:name w:val="正文文本缩进 2 Char Char"/>
    <w:basedOn w:val="7"/>
    <w:link w:val="2"/>
    <w:uiPriority w:val="0"/>
    <w:rPr>
      <w:rFonts w:ascii="仿宋_GB2312" w:hAnsi="Times New Roman" w:eastAsia="仿宋_GB2312" w:cs="Times New Roman"/>
      <w:b/>
      <w:kern w:val="0"/>
      <w:sz w:val="32"/>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993</Words>
  <Characters>5663</Characters>
  <Lines>47</Lines>
  <Paragraphs>13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2016-05-09T09:20:00Z</dcterms:created>
  <dc:creator>aa</dc:creator>
  <cp:lastModifiedBy>xhw_editor</cp:lastModifiedBy>
  <cp:lastPrinted>2015-11-05T07:26:00Z</cp:lastPrinted>
  <dcterms:modified xsi:type="dcterms:W3CDTF">2016-05-24T07:08:22Z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