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ascii="黑体" w:hAnsi="黑体" w:eastAsia="黑体" w:cs="黑体"/>
          <w:sz w:val="32"/>
          <w:szCs w:val="30"/>
        </w:rPr>
      </w:pPr>
      <w:r>
        <w:rPr>
          <w:rFonts w:ascii="黑体" w:hAnsi="黑体" w:eastAsia="黑体" w:cs="黑体"/>
          <w:sz w:val="32"/>
          <w:szCs w:val="30"/>
        </w:rPr>
        <w:t>附件9</w:t>
      </w:r>
    </w:p>
    <w:p>
      <w:pPr>
        <w:pStyle w:val="12"/>
        <w:spacing w:line="600" w:lineRule="exact"/>
        <w:jc w:val="both"/>
        <w:rPr>
          <w:rFonts w:ascii="楷体_GB2312" w:eastAsia="楷体_GB2312"/>
          <w:sz w:val="32"/>
          <w:szCs w:val="30"/>
        </w:rPr>
      </w:pPr>
    </w:p>
    <w:p>
      <w:pPr>
        <w:pStyle w:val="2"/>
        <w:spacing w:line="600" w:lineRule="exact"/>
        <w:ind w:firstLine="0" w:firstLineChars="0"/>
        <w:jc w:val="center"/>
        <w:rPr>
          <w:rFonts w:ascii="方正小标宋简体" w:hAnsi="方正小标宋简体" w:eastAsia="方正小标宋简体" w:cs="方正小标宋简体"/>
        </w:rPr>
      </w:pPr>
      <w:r>
        <w:rPr>
          <w:rFonts w:ascii="方正小标宋简体" w:hAnsi="方正小标宋简体" w:eastAsia="方正小标宋简体" w:cs="方正小标宋简体"/>
        </w:rPr>
        <w:t>交易对手信用风险加权资产计量规则</w:t>
      </w:r>
    </w:p>
    <w:p>
      <w:pPr>
        <w:spacing w:line="600" w:lineRule="exact"/>
        <w:rPr>
          <w:rFonts w:ascii="Times New Roman" w:hAnsi="Times New Roman" w:eastAsia="黑体" w:cs="Times New Roman"/>
          <w:b/>
          <w:sz w:val="36"/>
          <w:szCs w:val="36"/>
        </w:rPr>
      </w:pPr>
    </w:p>
    <w:p>
      <w:pPr>
        <w:pStyle w:val="3"/>
        <w:jc w:val="both"/>
      </w:pPr>
      <w:r>
        <w:t>一、总体要求</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一）交易对手信用风险是指针对衍生工具、证券融资交易的交易对手在交易相关的现金流结算完成前，因为交易对手违约所导致的风险。当违约发生时，若与该交易对手相关的交易或涉及该交易的资产组合市场价值为正数，则会产生损失。与发放贷款所产生的单向信用风险不同，交易对手信用风险产生双向的损失风险，相关交易的市场价值对于交易双方来说具有不确定性和双向性。</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（二）商业银行应制定与其交易活动的特征、复杂程度和风险暴露水平相适应的交易对手信用风险管理政策和程序。</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（三）商业银行应计算交易对手信用风险暴露的风险加权资产，包括与交易对手的衍生工具交易和证券融资交易形成的交易对手信用风险。</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（四）本规则所指的衍生工具包括场外衍生工具、交易所交易的衍生工具和长期限结算交易。长期限结算交易的认定标准为：金融工具结算日远于交易日后五个交易日，或远于其市场惯例结算日。</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衍生工具的资产类别包括：利率类工具、汇率类工具、信用类工具、股票类工具和商品类工具。资产分类的依据是衍生工具的主要风险因子，由其参考标的工具决定。当一个衍生工具同时包含不同类型的风险因子时，商业银行应根据不同风险因子的敏感性和波动率来确定主要风险因子，并保持主要风险因子判断方法的一致性。若商业银行难以辨别主要风险因子，则应按照监管因子孰高的原则审慎认定。</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（五）本规则所指的证券融资交易包括证券回购、证券借贷和保证金贷款等交易。</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（六）与非中央交易对手交易的衍生工具和证券融资交易的交易对手信用风险加权资产包括交易对手违约风险加权资产与信用估值调整风险加权资产两部分。</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信用估值调整风险是指交易对手信用状况恶化、信用利差扩大导致商业银行衍生工具和证券融资交易发生损失的风险。对信用估值调整风险加权资产计量规则见本办法附件17。</w:t>
      </w:r>
    </w:p>
    <w:p>
      <w:pPr>
        <w:spacing w:line="480" w:lineRule="exact"/>
        <w:ind w:firstLine="60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30"/>
          <w:szCs w:val="30"/>
        </w:rPr>
        <w:t>（七）对中央交易对手风险暴露的风险加权资产计量规则见本办法附件10。</w:t>
      </w:r>
    </w:p>
    <w:p>
      <w:pPr>
        <w:pStyle w:val="3"/>
        <w:jc w:val="both"/>
      </w:pPr>
      <w:r>
        <w:t>二、与非中央交易对手交易的衍生工具的交易对手违约风险加权资产的计量</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（一）商业银行可采用权重法或内部评级法计算与非中央交易对手交易的衍生工具的交易对手违约风险加权资产。</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（二）商业银行采用权重法的，交易对手违约风险加权资产为与非中央交易对手交易的衍生工具交易的违约风险暴露乘以本办法附件3规定的交易对手的风险权重。</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（三）商业银行采用内部评级法的，应按照本办法附件6的规定计量交易对手违约风险加权资产。</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四）商业银行应按照本部分标准法和现期风险暴露法的要求，计算衍生工具的交易对手违约风险暴露。并表口径衍生工具名义本金达到5000亿元人民币（含）或占总资产比例达到30%（含）以上的商业银行应使用标准法计量违约风险暴露。</w:t>
      </w:r>
    </w:p>
    <w:p>
      <w:pPr>
        <w:spacing w:line="480" w:lineRule="exact"/>
        <w:ind w:firstLine="600" w:firstLineChars="200"/>
        <w:rPr>
          <w:rFonts w:ascii="仿宋_GB2312" w:hAnsi="Times New Roman" w:eastAsia="仿宋_GB2312" w:cs="Times New Roman"/>
          <w:bCs/>
          <w:sz w:val="30"/>
          <w:szCs w:val="30"/>
          <w:lang w:val="zh-TW"/>
        </w:rPr>
      </w:pPr>
      <w:r>
        <w:rPr>
          <w:rFonts w:hint="eastAsia" w:ascii="仿宋_GB2312" w:hAnsi="Times New Roman" w:eastAsia="仿宋_GB2312" w:cs="Times New Roman"/>
          <w:bCs/>
          <w:sz w:val="30"/>
          <w:szCs w:val="30"/>
          <w:lang w:val="zh-TW"/>
        </w:rPr>
        <w:t>采用</w:t>
      </w:r>
      <w:r>
        <w:rPr>
          <w:rFonts w:hint="eastAsia" w:ascii="仿宋_GB2312" w:hAnsi="Times New Roman" w:eastAsia="仿宋_GB2312" w:cs="Times New Roman"/>
          <w:bCs/>
          <w:sz w:val="30"/>
          <w:szCs w:val="30"/>
        </w:rPr>
        <w:t>现期风险暴露法</w:t>
      </w:r>
      <w:r>
        <w:rPr>
          <w:rFonts w:hint="eastAsia" w:ascii="仿宋_GB2312" w:hAnsi="Times New Roman" w:eastAsia="仿宋_GB2312" w:cs="Times New Roman"/>
          <w:bCs/>
          <w:sz w:val="30"/>
          <w:szCs w:val="30"/>
          <w:lang w:val="zh-TW"/>
        </w:rPr>
        <w:t>计量</w:t>
      </w:r>
      <w:r>
        <w:rPr>
          <w:rFonts w:hint="eastAsia" w:ascii="仿宋_GB2312" w:hAnsi="Times New Roman" w:eastAsia="仿宋_GB2312" w:cs="Times New Roman"/>
          <w:bCs/>
          <w:sz w:val="30"/>
          <w:szCs w:val="30"/>
        </w:rPr>
        <w:t>违约风险暴露</w:t>
      </w:r>
      <w:r>
        <w:rPr>
          <w:rFonts w:hint="eastAsia" w:ascii="仿宋_GB2312" w:hAnsi="Times New Roman" w:eastAsia="仿宋_GB2312" w:cs="Times New Roman"/>
          <w:bCs/>
          <w:sz w:val="30"/>
          <w:szCs w:val="30"/>
          <w:lang w:val="zh-TW"/>
        </w:rPr>
        <w:t>的商业银行，若连续四个季度不再满足现期风险暴露法适用条件，应</w:t>
      </w:r>
      <w:r>
        <w:rPr>
          <w:rFonts w:hint="eastAsia" w:ascii="仿宋_GB2312" w:hAnsi="Times New Roman" w:eastAsia="仿宋_GB2312" w:cs="Times New Roman"/>
          <w:bCs/>
          <w:sz w:val="30"/>
          <w:szCs w:val="30"/>
        </w:rPr>
        <w:t>在第四个季度结束后的一个月内向国家金融监督管理总局或其派出机构报告</w:t>
      </w:r>
      <w:r>
        <w:rPr>
          <w:rFonts w:hint="eastAsia" w:ascii="仿宋_GB2312" w:hAnsi="Times New Roman" w:eastAsia="仿宋_GB2312" w:cs="Times New Roman"/>
          <w:bCs/>
          <w:sz w:val="30"/>
          <w:szCs w:val="30"/>
          <w:lang w:val="zh-TW"/>
        </w:rPr>
        <w:t>。</w:t>
      </w:r>
      <w:r>
        <w:rPr>
          <w:rFonts w:hint="eastAsia" w:ascii="仿宋_GB2312" w:hAnsi="Times New Roman" w:eastAsia="仿宋_GB2312" w:cs="Times New Roman"/>
          <w:bCs/>
          <w:sz w:val="30"/>
          <w:szCs w:val="30"/>
        </w:rPr>
        <w:t>国家金融监督管理总局</w:t>
      </w:r>
      <w:r>
        <w:rPr>
          <w:rFonts w:hint="eastAsia" w:ascii="仿宋_GB2312" w:hAnsi="Times New Roman" w:eastAsia="仿宋_GB2312" w:cs="Times New Roman"/>
          <w:bCs/>
          <w:sz w:val="30"/>
          <w:szCs w:val="30"/>
          <w:lang w:val="zh-TW"/>
        </w:rPr>
        <w:t>或其派出机构根据单家银行</w:t>
      </w:r>
      <w:r>
        <w:rPr>
          <w:rFonts w:hint="eastAsia" w:ascii="仿宋_GB2312" w:eastAsia="仿宋_GB2312"/>
          <w:sz w:val="30"/>
          <w:szCs w:val="30"/>
        </w:rPr>
        <w:t>经营管理和风险水平</w:t>
      </w:r>
      <w:r>
        <w:rPr>
          <w:rFonts w:hint="eastAsia" w:ascii="仿宋_GB2312" w:hAnsi="Times New Roman" w:eastAsia="仿宋_GB2312" w:cs="Times New Roman"/>
          <w:bCs/>
          <w:sz w:val="30"/>
          <w:szCs w:val="30"/>
          <w:lang w:val="zh-TW"/>
        </w:rPr>
        <w:t>等情况，结合监管判断决定是否调整其交易对手违约风险暴露计量方法。国家金融监督管理总局或其派出机构决定调整单家银行交易对手违约风险暴露计量方法的，可对其</w:t>
      </w:r>
      <w:r>
        <w:rPr>
          <w:rFonts w:hint="eastAsia" w:ascii="仿宋_GB2312" w:hAnsi="Times New Roman" w:eastAsia="仿宋_GB2312" w:cs="Times New Roman"/>
          <w:bCs/>
          <w:sz w:val="30"/>
          <w:szCs w:val="30"/>
        </w:rPr>
        <w:t>设立不超过</w:t>
      </w:r>
      <w:r>
        <w:rPr>
          <w:rFonts w:ascii="仿宋_GB2312" w:hAnsi="Times New Roman" w:eastAsia="仿宋_GB2312" w:cs="Times New Roman"/>
          <w:bCs/>
          <w:sz w:val="30"/>
          <w:szCs w:val="30"/>
        </w:rPr>
        <w:t>1年的实施准备期。准备期结束后，商业银行</w:t>
      </w:r>
      <w:r>
        <w:rPr>
          <w:rFonts w:hint="eastAsia" w:ascii="仿宋_GB2312" w:hAnsi="Times New Roman" w:eastAsia="仿宋_GB2312" w:cs="Times New Roman"/>
          <w:bCs/>
          <w:sz w:val="30"/>
          <w:szCs w:val="30"/>
          <w:lang w:val="zh-TW"/>
        </w:rPr>
        <w:t>应采用标准法计量</w:t>
      </w:r>
      <w:r>
        <w:rPr>
          <w:rFonts w:hint="eastAsia" w:ascii="仿宋_GB2312" w:hAnsi="Times New Roman" w:eastAsia="仿宋_GB2312" w:cs="Times New Roman"/>
          <w:bCs/>
          <w:sz w:val="30"/>
          <w:szCs w:val="30"/>
        </w:rPr>
        <w:t>违约风险暴露</w:t>
      </w:r>
      <w:r>
        <w:rPr>
          <w:rFonts w:hint="eastAsia" w:ascii="仿宋_GB2312" w:hAnsi="Times New Roman" w:eastAsia="仿宋_GB2312" w:cs="Times New Roman"/>
          <w:bCs/>
          <w:sz w:val="30"/>
          <w:szCs w:val="30"/>
          <w:lang w:val="zh-TW"/>
        </w:rPr>
        <w:t>，并向国家金融监督管理总局或其派出机构</w:t>
      </w:r>
      <w:r>
        <w:rPr>
          <w:rFonts w:hint="eastAsia" w:ascii="仿宋_GB2312" w:hAnsi="Times New Roman" w:eastAsia="仿宋_GB2312" w:cs="Times New Roman"/>
          <w:bCs/>
          <w:sz w:val="30"/>
          <w:szCs w:val="30"/>
        </w:rPr>
        <w:t>报告实施情况</w:t>
      </w:r>
      <w:r>
        <w:rPr>
          <w:rFonts w:hint="eastAsia" w:ascii="仿宋_GB2312" w:hAnsi="Times New Roman" w:eastAsia="仿宋_GB2312" w:cs="Times New Roman"/>
          <w:bCs/>
          <w:sz w:val="30"/>
          <w:szCs w:val="30"/>
          <w:lang w:val="zh-TW"/>
        </w:rPr>
        <w:t>。</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采用标准法计量违约风险暴露的商业银行，若连续四个季度满足现期风险暴露法适用条件，应在第四个季度结束后的一个月内向国家金融监督管理总局或其派出机构报告。国家金融监督管理总局</w:t>
      </w:r>
      <w:r>
        <w:rPr>
          <w:rFonts w:hint="eastAsia" w:ascii="仿宋_GB2312" w:hAnsi="Times New Roman" w:eastAsia="仿宋_GB2312" w:cs="Times New Roman"/>
          <w:bCs/>
          <w:sz w:val="30"/>
          <w:szCs w:val="30"/>
          <w:lang w:val="zh-TW"/>
        </w:rPr>
        <w:t>或其派出机构根据单家银行</w:t>
      </w:r>
      <w:r>
        <w:rPr>
          <w:rFonts w:hint="eastAsia" w:ascii="仿宋_GB2312" w:eastAsia="仿宋_GB2312"/>
          <w:sz w:val="30"/>
          <w:szCs w:val="30"/>
        </w:rPr>
        <w:t>经营管理和风险水平</w:t>
      </w:r>
      <w:r>
        <w:rPr>
          <w:rFonts w:hint="eastAsia" w:ascii="仿宋_GB2312" w:hAnsi="Times New Roman" w:eastAsia="仿宋_GB2312" w:cs="Times New Roman"/>
          <w:bCs/>
          <w:sz w:val="30"/>
          <w:szCs w:val="30"/>
          <w:lang w:val="zh-TW"/>
        </w:rPr>
        <w:t>等情况，结合监管判断决定是否调整其交易对手违约风险暴露计量方法。国家金融监督管理总局或其派出机构决定调整单家银行交易对手违约风险暴露计量方法的，</w:t>
      </w:r>
      <w:r>
        <w:rPr>
          <w:rFonts w:hint="eastAsia" w:ascii="仿宋_GB2312" w:hAnsi="Times New Roman" w:eastAsia="仿宋_GB2312" w:cs="Times New Roman"/>
          <w:bCs/>
          <w:sz w:val="30"/>
          <w:szCs w:val="30"/>
        </w:rPr>
        <w:t>商业银行应及时采用现期风险暴露法计量违约风险暴露，并向国家金融监督管理总局或其派出机构报告实施情况。</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（五）商业银行使用标准法计量违约风险暴露，应满足下列要求：</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1.商业银行应制定分类政策，确定净额结算组合定义。净额结算组合是商业银行与单个交易对手在同一个有效净额结算协议下所发生全部交易的集合，应符合下列标准：</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（1）商业银行应与交易对手签订净额结算协议。在交易对手违约或者被清算时，对包含收取权利和支付义务相关交易的盯市价值，商业银行可采取净额结算方式进行清算。</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2）商业银行应确保净额结算协议合法有效，就净额结算协议涉及的法律问题获得书面法律审查意见，以确保净额结算能够有效实施。法律审查意见应至少包括：交易对手所在国的法律；如净额结算涉及交易对手的境外分支机构，该境外分支机构所在国的法律；净额结算协议覆盖的每笔交易适用的法律；其他可能影响净额结算协议适用的法律。</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（3）在净额结算协议适用的法律发生变化时，商业银行应确保相关协议仍合法有效。</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2.商业银行应将衍生工具划分至相应的资产类别和抵消组合。商业银行应遵循唯一性、一致性原则及审慎监管要求来制定衍生工具分类流程和标准。</w:t>
      </w:r>
    </w:p>
    <w:p>
      <w:pPr>
        <w:spacing w:line="480" w:lineRule="exact"/>
        <w:ind w:firstLine="60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30"/>
          <w:szCs w:val="30"/>
        </w:rPr>
        <w:t>3.商业银行应在资产类别划分的基础上，制定抵消组合划分标准，并将各类资产类别的衍生工具划分至抵消组合。资产类别和抵消组合划分方式如下表。</w:t>
      </w:r>
    </w:p>
    <w:p>
      <w:pPr>
        <w:widowControl/>
        <w:spacing w:line="480" w:lineRule="exact"/>
        <w:ind w:firstLine="562" w:firstLineChars="200"/>
        <w:jc w:val="center"/>
        <w:rPr>
          <w:rFonts w:ascii="楷体_GB2312" w:hAnsi="Times New Roman" w:eastAsia="楷体_GB2312" w:cs="Times New Roman"/>
          <w:b/>
          <w:sz w:val="28"/>
          <w:szCs w:val="28"/>
        </w:rPr>
      </w:pPr>
      <w:r>
        <w:rPr>
          <w:rFonts w:ascii="楷体_GB2312" w:hAnsi="Times New Roman" w:eastAsia="楷体_GB2312" w:cs="Times New Roman"/>
          <w:b/>
          <w:sz w:val="28"/>
          <w:szCs w:val="28"/>
        </w:rPr>
        <w:t>表</w:t>
      </w:r>
      <w:r>
        <w:rPr>
          <w:rFonts w:hint="eastAsia" w:ascii="楷体_GB2312" w:hAnsi="Times New Roman" w:eastAsia="楷体_GB2312" w:cs="Times New Roman"/>
          <w:b/>
          <w:sz w:val="28"/>
          <w:szCs w:val="28"/>
        </w:rPr>
        <w:t>1</w:t>
      </w:r>
      <w:r>
        <w:rPr>
          <w:rFonts w:ascii="楷体_GB2312" w:hAnsi="Times New Roman" w:eastAsia="楷体_GB2312" w:cs="Times New Roman"/>
          <w:b/>
          <w:sz w:val="28"/>
          <w:szCs w:val="28"/>
        </w:rPr>
        <w:t xml:space="preserve"> 资产类别和抵消组合划分方式</w:t>
      </w:r>
    </w:p>
    <w:tbl>
      <w:tblPr>
        <w:tblStyle w:val="15"/>
        <w:tblW w:w="7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center"/>
          </w:tcPr>
          <w:p>
            <w:pPr>
              <w:jc w:val="center"/>
              <w:rPr>
                <w:rFonts w:ascii="宋体" w:hAnsi="宋体" w:eastAsia="宋体" w:cs="Times New Roman"/>
                <w:b/>
                <w:bCs/>
                <w:sz w:val="24"/>
                <w:szCs w:val="24"/>
              </w:rPr>
            </w:pPr>
            <w:r>
              <w:rPr>
                <w:rFonts w:ascii="宋体" w:hAnsi="宋体" w:eastAsia="宋体" w:cs="Times New Roman"/>
                <w:b/>
                <w:bCs/>
                <w:sz w:val="24"/>
                <w:szCs w:val="24"/>
              </w:rPr>
              <w:t>资产类别</w:t>
            </w:r>
          </w:p>
        </w:tc>
        <w:tc>
          <w:tcPr>
            <w:tcW w:w="5418" w:type="dxa"/>
            <w:vAlign w:val="center"/>
          </w:tcPr>
          <w:p>
            <w:pPr>
              <w:jc w:val="center"/>
              <w:rPr>
                <w:rFonts w:ascii="宋体" w:hAnsi="宋体" w:eastAsia="宋体" w:cs="Times New Roman"/>
                <w:b/>
                <w:bCs/>
                <w:sz w:val="24"/>
                <w:szCs w:val="24"/>
              </w:rPr>
            </w:pPr>
            <w:r>
              <w:rPr>
                <w:rFonts w:ascii="宋体" w:hAnsi="宋体" w:eastAsia="宋体" w:cs="Times New Roman"/>
                <w:b/>
                <w:bCs/>
                <w:sz w:val="24"/>
                <w:szCs w:val="24"/>
              </w:rPr>
              <w:t>抵消组合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center"/>
          </w:tcPr>
          <w:p>
            <w:pPr>
              <w:jc w:val="center"/>
              <w:rPr>
                <w:rFonts w:ascii="宋体" w:hAnsi="宋体" w:eastAsia="宋体" w:cs="Times New Roman"/>
                <w:sz w:val="24"/>
                <w:szCs w:val="24"/>
              </w:rPr>
            </w:pPr>
            <w:r>
              <w:rPr>
                <w:rFonts w:ascii="宋体" w:hAnsi="宋体" w:eastAsia="宋体" w:cs="Times New Roman"/>
                <w:sz w:val="24"/>
                <w:szCs w:val="24"/>
              </w:rPr>
              <w:t>利率类工具</w:t>
            </w:r>
          </w:p>
        </w:tc>
        <w:tc>
          <w:tcPr>
            <w:tcW w:w="5418" w:type="dxa"/>
            <w:vAlign w:val="center"/>
          </w:tcPr>
          <w:p>
            <w:pPr>
              <w:jc w:val="center"/>
              <w:rPr>
                <w:rFonts w:ascii="宋体" w:hAnsi="宋体" w:eastAsia="宋体" w:cs="Times New Roman"/>
                <w:sz w:val="24"/>
                <w:szCs w:val="24"/>
              </w:rPr>
            </w:pPr>
            <w:r>
              <w:rPr>
                <w:rFonts w:ascii="宋体" w:hAnsi="宋体" w:eastAsia="宋体" w:cs="Times New Roman"/>
                <w:sz w:val="24"/>
                <w:szCs w:val="24"/>
              </w:rPr>
              <w:t>同一币种的交易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汇率</w:t>
            </w:r>
            <w:r>
              <w:rPr>
                <w:rFonts w:ascii="宋体" w:hAnsi="宋体" w:eastAsia="宋体" w:cs="Times New Roman"/>
                <w:sz w:val="24"/>
                <w:szCs w:val="24"/>
              </w:rPr>
              <w:t>类工具</w:t>
            </w:r>
          </w:p>
        </w:tc>
        <w:tc>
          <w:tcPr>
            <w:tcW w:w="5418" w:type="dxa"/>
            <w:vAlign w:val="center"/>
          </w:tcPr>
          <w:p>
            <w:pPr>
              <w:jc w:val="center"/>
              <w:rPr>
                <w:rFonts w:ascii="宋体" w:hAnsi="宋体" w:eastAsia="宋体" w:cs="Times New Roman"/>
                <w:sz w:val="24"/>
                <w:szCs w:val="24"/>
              </w:rPr>
            </w:pPr>
            <w:r>
              <w:rPr>
                <w:rFonts w:ascii="宋体" w:hAnsi="宋体" w:eastAsia="宋体" w:cs="Times New Roman"/>
                <w:sz w:val="24"/>
                <w:szCs w:val="24"/>
              </w:rPr>
              <w:t>同一货币对的交易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center"/>
          </w:tcPr>
          <w:p>
            <w:pPr>
              <w:jc w:val="center"/>
              <w:rPr>
                <w:rFonts w:ascii="宋体" w:hAnsi="宋体" w:eastAsia="宋体" w:cs="Times New Roman"/>
                <w:sz w:val="24"/>
                <w:szCs w:val="24"/>
              </w:rPr>
            </w:pPr>
            <w:r>
              <w:rPr>
                <w:rFonts w:ascii="宋体" w:hAnsi="宋体" w:eastAsia="宋体" w:cs="Times New Roman"/>
                <w:sz w:val="24"/>
                <w:szCs w:val="24"/>
              </w:rPr>
              <w:t>信用类工具</w:t>
            </w:r>
          </w:p>
        </w:tc>
        <w:tc>
          <w:tcPr>
            <w:tcW w:w="5418" w:type="dxa"/>
            <w:vAlign w:val="center"/>
          </w:tcPr>
          <w:p>
            <w:pPr>
              <w:jc w:val="center"/>
              <w:rPr>
                <w:rFonts w:ascii="宋体" w:hAnsi="宋体" w:eastAsia="宋体" w:cs="Times New Roman"/>
                <w:sz w:val="24"/>
                <w:szCs w:val="24"/>
              </w:rPr>
            </w:pPr>
            <w:r>
              <w:rPr>
                <w:rFonts w:ascii="宋体" w:hAnsi="宋体" w:eastAsia="宋体" w:cs="Times New Roman"/>
                <w:sz w:val="24"/>
                <w:szCs w:val="24"/>
              </w:rPr>
              <w:t>同一参考实体（单一实体或指数）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center"/>
          </w:tcPr>
          <w:p>
            <w:pPr>
              <w:jc w:val="center"/>
              <w:rPr>
                <w:rFonts w:ascii="宋体" w:hAnsi="宋体" w:eastAsia="宋体" w:cs="Times New Roman"/>
                <w:sz w:val="24"/>
                <w:szCs w:val="24"/>
              </w:rPr>
            </w:pPr>
            <w:r>
              <w:rPr>
                <w:rFonts w:ascii="宋体" w:hAnsi="宋体" w:eastAsia="宋体" w:cs="Times New Roman"/>
                <w:sz w:val="24"/>
                <w:szCs w:val="24"/>
              </w:rPr>
              <w:t>股票类工具</w:t>
            </w:r>
          </w:p>
        </w:tc>
        <w:tc>
          <w:tcPr>
            <w:tcW w:w="5418" w:type="dxa"/>
            <w:vAlign w:val="center"/>
          </w:tcPr>
          <w:p>
            <w:pPr>
              <w:jc w:val="center"/>
              <w:rPr>
                <w:rFonts w:ascii="宋体" w:hAnsi="宋体" w:eastAsia="宋体" w:cs="Times New Roman"/>
                <w:sz w:val="24"/>
                <w:szCs w:val="24"/>
              </w:rPr>
            </w:pPr>
            <w:r>
              <w:rPr>
                <w:rFonts w:ascii="宋体" w:hAnsi="宋体" w:eastAsia="宋体" w:cs="Times New Roman"/>
                <w:sz w:val="24"/>
                <w:szCs w:val="24"/>
              </w:rPr>
              <w:t>同一参考实体（单一实体或指数）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center"/>
          </w:tcPr>
          <w:p>
            <w:pPr>
              <w:jc w:val="center"/>
              <w:rPr>
                <w:rFonts w:ascii="宋体" w:hAnsi="宋体" w:eastAsia="宋体" w:cs="Times New Roman"/>
                <w:sz w:val="24"/>
                <w:szCs w:val="24"/>
              </w:rPr>
            </w:pPr>
            <w:r>
              <w:rPr>
                <w:rFonts w:ascii="宋体" w:hAnsi="宋体" w:eastAsia="宋体" w:cs="Times New Roman"/>
                <w:sz w:val="24"/>
                <w:szCs w:val="24"/>
              </w:rPr>
              <w:t>商品类工具</w:t>
            </w:r>
          </w:p>
        </w:tc>
        <w:tc>
          <w:tcPr>
            <w:tcW w:w="5418" w:type="dxa"/>
            <w:vAlign w:val="center"/>
          </w:tcPr>
          <w:p>
            <w:pPr>
              <w:jc w:val="center"/>
              <w:rPr>
                <w:rFonts w:ascii="宋体" w:hAnsi="宋体" w:eastAsia="宋体" w:cs="Times New Roman"/>
                <w:sz w:val="24"/>
                <w:szCs w:val="24"/>
              </w:rPr>
            </w:pPr>
            <w:r>
              <w:rPr>
                <w:rFonts w:ascii="宋体" w:hAnsi="宋体" w:eastAsia="宋体" w:cs="Times New Roman"/>
                <w:sz w:val="24"/>
                <w:szCs w:val="24"/>
              </w:rPr>
              <w:t>四大类商品：能源（包括电力、油、气）、金属、农产品、其他</w:t>
            </w:r>
          </w:p>
        </w:tc>
      </w:tr>
    </w:tbl>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4.商业银行应区分保证金衍生工具交易和无保证金衍生工具交易。对于同一净额结算组合，保证金衍生工具交易的违约风险暴露以无保证金衍生工具交易的违约风险暴露为上限。</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5.对保证金衍生工具交易，商业银行应与交易对手签订保证金和押品收付协议。其中，商业银行承担支付单向变动保证金或押品义务的交易应认定为无保证金交易。</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（六）违约风险暴露标准法</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1.违约风险暴露的计算公式如下：</w:t>
      </w:r>
    </w:p>
    <w:p>
      <w:pPr>
        <w:spacing w:before="156" w:beforeLines="50" w:line="600" w:lineRule="exact"/>
        <w:ind w:firstLine="600" w:firstLineChars="200"/>
        <w:jc w:val="center"/>
        <w:rPr>
          <w:rFonts w:ascii="仿宋_GB2312" w:hAnsi="Times New Roman" w:eastAsia="仿宋_GB2312" w:cs="Times New Roman"/>
          <w:kern w:val="0"/>
          <w:sz w:val="30"/>
          <w:szCs w:val="30"/>
        </w:rPr>
      </w:pPr>
      <w:r>
        <w:rPr>
          <w:rFonts w:ascii="仿宋_GB2312" w:hAnsi="Times New Roman" w:eastAsia="仿宋_GB2312" w:cs="Times New Roman"/>
          <w:kern w:val="0"/>
          <w:sz w:val="30"/>
          <w:szCs w:val="30"/>
        </w:rPr>
        <w:drawing>
          <wp:inline distT="0" distB="0" distL="114300" distR="114300">
            <wp:extent cx="1965960" cy="23622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1965960" cy="236220"/>
                    </a:xfrm>
                    <a:prstGeom prst="rect">
                      <a:avLst/>
                    </a:prstGeom>
                    <a:noFill/>
                    <a:ln>
                      <a:noFill/>
                    </a:ln>
                  </pic:spPr>
                </pic:pic>
              </a:graphicData>
            </a:graphic>
          </wp:inline>
        </w:drawing>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（1）RC为重置成本，代表当前风险暴露。</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（2）PFE为潜在风险暴露。</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2.重置成本的计算方法</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（1）对于无保证金交易，重置成本计算公式如下：</w:t>
      </w:r>
    </w:p>
    <w:p>
      <w:pPr>
        <w:spacing w:line="480" w:lineRule="exact"/>
        <w:ind w:firstLine="600" w:firstLineChars="200"/>
        <w:rPr>
          <w:rFonts w:ascii="仿宋_GB2312" w:hAnsi="Times New Roman" w:eastAsia="仿宋_GB2312" w:cs="Times New Roman"/>
          <w:bCs/>
          <w:sz w:val="30"/>
          <w:szCs w:val="30"/>
        </w:rPr>
      </w:pPr>
      <m:oMathPara>
        <m:oMath>
          <m:r>
            <m:rPr/>
            <w:rPr>
              <w:rFonts w:ascii="Cambria Math" w:hAnsi="Cambria Math" w:eastAsia="仿宋_GB2312" w:cs="Times New Roman"/>
              <w:sz w:val="30"/>
              <w:szCs w:val="30"/>
            </w:rPr>
            <m:t>RC=</m:t>
          </m:r>
          <m:r>
            <m:rPr>
              <m:sty m:val="p"/>
            </m:rPr>
            <w:rPr>
              <w:rFonts w:ascii="Cambria Math" w:hAnsi="Cambria Math" w:eastAsia="仿宋_GB2312" w:cs="Times New Roman"/>
              <w:sz w:val="30"/>
              <w:szCs w:val="30"/>
            </w:rPr>
            <m:t>max⁡</m:t>
          </m:r>
          <m:r>
            <m:rPr/>
            <w:rPr>
              <w:rFonts w:ascii="Cambria Math" w:hAnsi="Cambria Math" w:eastAsia="仿宋_GB2312" w:cs="Times New Roman"/>
              <w:sz w:val="30"/>
              <w:szCs w:val="30"/>
            </w:rPr>
            <m:t>{V−C,0}</m:t>
          </m:r>
        </m:oMath>
      </m:oMathPara>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a.V为净额结算组合衍生工具的盯市价值。</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b.</w:t>
      </w:r>
      <w:r>
        <w:rPr>
          <w:rFonts w:hint="eastAsia" w:ascii="仿宋_GB2312" w:hAnsi="Times New Roman" w:eastAsia="仿宋_GB2312" w:cs="Times New Roman"/>
          <w:bCs/>
          <w:sz w:val="30"/>
          <w:szCs w:val="30"/>
        </w:rPr>
        <w:t>C为银行持有的抵质押品净额（收到的抵质押品扣除提交的抵质押品）经折扣调整后的价值，包括银行承担单向支付义务的变动保证金，并以负数参与计算；不包括银行向独立的破产隔离账户提交的抵质押品。合格抵质押品折扣率见本办法附件7第二、第六和第七部分。以破产隔离方式持有的定义见本办法附件10第二部分。</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（2）对于保证金交易，重置成本计算公式如下：</w:t>
      </w:r>
    </w:p>
    <w:p>
      <w:pPr>
        <w:spacing w:line="480" w:lineRule="exact"/>
        <w:ind w:firstLine="600" w:firstLineChars="200"/>
        <w:rPr>
          <w:rFonts w:ascii="仿宋_GB2312" w:hAnsi="Times New Roman" w:eastAsia="仿宋_GB2312" w:cs="Times New Roman"/>
          <w:bCs/>
          <w:sz w:val="30"/>
          <w:szCs w:val="30"/>
        </w:rPr>
      </w:pPr>
      <m:oMathPara>
        <m:oMath>
          <m:r>
            <m:rPr/>
            <w:rPr>
              <w:rFonts w:ascii="Cambria Math" w:hAnsi="Cambria Math" w:eastAsia="仿宋_GB2312" w:cs="Times New Roman"/>
              <w:sz w:val="30"/>
              <w:szCs w:val="30"/>
            </w:rPr>
            <m:t>RC=</m:t>
          </m:r>
          <m:r>
            <m:rPr>
              <m:sty m:val="p"/>
            </m:rPr>
            <w:rPr>
              <w:rFonts w:ascii="Cambria Math" w:hAnsi="Cambria Math" w:eastAsia="仿宋_GB2312" w:cs="Times New Roman"/>
              <w:sz w:val="30"/>
              <w:szCs w:val="30"/>
            </w:rPr>
            <m:t>max⁡</m:t>
          </m:r>
          <m:r>
            <m:rPr/>
            <w:rPr>
              <w:rFonts w:ascii="Cambria Math" w:hAnsi="Cambria Math" w:eastAsia="仿宋_GB2312" w:cs="Times New Roman"/>
              <w:sz w:val="30"/>
              <w:szCs w:val="30"/>
            </w:rPr>
            <m:t>{V−C, TH+MTA−NICA, 0}</m:t>
          </m:r>
        </m:oMath>
      </m:oMathPara>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w:t>
      </w:r>
    </w:p>
    <w:p>
      <w:pPr>
        <w:widowControl/>
        <w:ind w:firstLine="600" w:firstLineChars="200"/>
        <w:jc w:val="left"/>
        <w:rPr>
          <w:rFonts w:ascii="仿宋_GB2312" w:hAnsi="Times New Roman" w:eastAsia="仿宋_GB2312" w:cs="Times New Roman"/>
          <w:bCs/>
          <w:color w:val="FF0000"/>
          <w:sz w:val="30"/>
          <w:szCs w:val="30"/>
        </w:rPr>
      </w:pPr>
      <w:r>
        <w:rPr>
          <w:rFonts w:ascii="仿宋_GB2312" w:hAnsi="Times New Roman" w:eastAsia="仿宋_GB2312" w:cs="Times New Roman"/>
          <w:bCs/>
          <w:sz w:val="30"/>
          <w:szCs w:val="30"/>
        </w:rPr>
        <w:t>a.</w:t>
      </w:r>
      <w:r>
        <w:rPr>
          <w:rFonts w:hint="eastAsia" w:ascii="仿宋_GB2312" w:hAnsi="Times New Roman" w:eastAsia="仿宋_GB2312" w:cs="Times New Roman"/>
          <w:bCs/>
          <w:sz w:val="30"/>
          <w:szCs w:val="30"/>
        </w:rPr>
        <w:t>V的定义与无保证金交易相同。</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b.C</w:t>
      </w:r>
      <w:r>
        <w:rPr>
          <w:rFonts w:hint="eastAsia" w:ascii="仿宋_GB2312" w:hAnsi="Times New Roman" w:eastAsia="仿宋_GB2312" w:cs="Times New Roman"/>
          <w:bCs/>
          <w:sz w:val="30"/>
          <w:szCs w:val="30"/>
        </w:rPr>
        <w:t>除了包括无保证金交易中的相关要素外，还包括净变动保证金。</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c</w:t>
      </w:r>
      <w:r>
        <w:rPr>
          <w:rFonts w:ascii="仿宋_GB2312" w:hAnsi="Times New Roman" w:eastAsia="仿宋_GB2312" w:cs="Times New Roman"/>
          <w:bCs/>
          <w:sz w:val="30"/>
          <w:szCs w:val="30"/>
        </w:rPr>
        <w:t>.</w:t>
      </w:r>
      <w:r>
        <w:rPr>
          <w:rFonts w:hint="eastAsia" w:ascii="仿宋_GB2312" w:hAnsi="Times New Roman" w:eastAsia="仿宋_GB2312" w:cs="Times New Roman"/>
          <w:bCs/>
          <w:sz w:val="30"/>
          <w:szCs w:val="30"/>
        </w:rPr>
        <w:t>TH是一个正的阈值。盯市价值超过该阈值，交易对手需向银行提交抵质押品。</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d.</w:t>
      </w:r>
      <w:r>
        <w:rPr>
          <w:rFonts w:hint="eastAsia" w:ascii="仿宋_GB2312" w:hAnsi="Times New Roman" w:eastAsia="仿宋_GB2312" w:cs="Times New Roman"/>
          <w:bCs/>
          <w:sz w:val="30"/>
          <w:szCs w:val="30"/>
        </w:rPr>
        <w:t>MTA为交易对手追加可变保证金最低触发值。</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e.</w:t>
      </w:r>
      <w:r>
        <w:rPr>
          <w:rFonts w:hint="eastAsia" w:ascii="仿宋_GB2312" w:hAnsi="Times New Roman" w:eastAsia="仿宋_GB2312" w:cs="Times New Roman"/>
          <w:bCs/>
          <w:sz w:val="30"/>
          <w:szCs w:val="30"/>
        </w:rPr>
        <w:t>NICA为净独立抵质押品的价值，即在交易对手违约情况下，银行可以用来抵消风险暴露的抵质押品价值。NICA包括初始保证金，不包括变动保证金，也不包括银行向独立的破产隔离账户提交的抵质押品。</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TH+MTA-NICA为触发可变保证金补充之前的最大风险暴露，代表银行需保持的抵质押品水平。</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3.潜在风险暴露的计算方法</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（1）潜在风险暴露的计算公式如下：</w:t>
      </w:r>
    </w:p>
    <w:p>
      <w:pPr>
        <w:spacing w:before="156" w:beforeLines="50" w:line="600" w:lineRule="exact"/>
        <w:ind w:firstLine="600" w:firstLineChars="200"/>
        <w:jc w:val="center"/>
        <w:rPr>
          <w:rFonts w:ascii="仿宋_GB2312" w:hAnsi="Times New Roman" w:eastAsia="仿宋_GB2312" w:cs="Times New Roman"/>
          <w:kern w:val="0"/>
          <w:sz w:val="30"/>
          <w:szCs w:val="30"/>
        </w:rPr>
      </w:pPr>
      <w:r>
        <w:rPr>
          <w:rFonts w:ascii="仿宋_GB2312" w:hAnsi="Times New Roman" w:eastAsia="仿宋_GB2312" w:cs="Times New Roman"/>
          <w:kern w:val="0"/>
          <w:sz w:val="30"/>
          <w:szCs w:val="30"/>
        </w:rPr>
        <w:drawing>
          <wp:inline distT="0" distB="0" distL="114300" distR="114300">
            <wp:extent cx="2590800" cy="28956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6"/>
                    <a:stretch>
                      <a:fillRect/>
                    </a:stretch>
                  </pic:blipFill>
                  <pic:spPr>
                    <a:xfrm>
                      <a:off x="0" y="0"/>
                      <a:ext cx="2590800" cy="289560"/>
                    </a:xfrm>
                    <a:prstGeom prst="rect">
                      <a:avLst/>
                    </a:prstGeom>
                    <a:noFill/>
                    <a:ln>
                      <a:noFill/>
                    </a:ln>
                  </pic:spPr>
                </pic:pic>
              </a:graphicData>
            </a:graphic>
          </wp:inline>
        </w:drawing>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kern w:val="0"/>
          <w:sz w:val="30"/>
          <w:szCs w:val="30"/>
        </w:rPr>
        <w:t>a.</w:t>
      </w:r>
      <w:r>
        <w:rPr>
          <w:rFonts w:hint="eastAsia" w:ascii="仿宋_GB2312" w:hAnsi="Times New Roman" w:eastAsia="仿宋_GB2312" w:cs="Times New Roman"/>
          <w:kern w:val="0"/>
          <w:sz w:val="30"/>
          <w:szCs w:val="30"/>
        </w:rPr>
        <w:t>AddOn</w:t>
      </w:r>
      <w:r>
        <w:rPr>
          <w:rFonts w:hint="eastAsia" w:ascii="仿宋_GB2312" w:hAnsi="Times New Roman" w:eastAsia="仿宋_GB2312" w:cs="Times New Roman"/>
          <w:kern w:val="0"/>
          <w:sz w:val="30"/>
          <w:szCs w:val="30"/>
          <w:vertAlign w:val="superscript"/>
        </w:rPr>
        <w:t>aggregate</w:t>
      </w:r>
      <w:r>
        <w:rPr>
          <w:rFonts w:hint="eastAsia" w:ascii="仿宋_GB2312" w:hAnsi="Times New Roman" w:eastAsia="仿宋_GB2312" w:cs="Times New Roman"/>
          <w:bCs/>
          <w:sz w:val="30"/>
          <w:szCs w:val="30"/>
        </w:rPr>
        <w:t>为净额结算组合下全部衍生工具交易的总附加暴露。</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b.</w:t>
      </w:r>
      <w:r>
        <w:rPr>
          <w:rFonts w:hint="eastAsia" w:ascii="仿宋_GB2312" w:hAnsi="Times New Roman" w:eastAsia="仿宋_GB2312" w:cs="Times New Roman"/>
          <w:bCs/>
          <w:sz w:val="30"/>
          <w:szCs w:val="30"/>
        </w:rPr>
        <w:t>multiplier为认可超值抵押或负盯市价值的乘数因子。</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（2）乘数因子计算公式如下：</w:t>
      </w:r>
    </w:p>
    <w:p>
      <w:pPr>
        <w:spacing w:before="156" w:beforeLines="50" w:line="800" w:lineRule="exact"/>
        <w:ind w:firstLine="600" w:firstLineChars="200"/>
        <w:rPr>
          <w:rFonts w:ascii="仿宋_GB2312" w:hAnsi="Times New Roman" w:eastAsia="仿宋_GB2312" w:cs="Times New Roman"/>
          <w:position w:val="-10"/>
          <w:sz w:val="30"/>
          <w:szCs w:val="30"/>
        </w:rPr>
      </w:pPr>
      <w:r>
        <w:rPr>
          <w:rFonts w:ascii="仿宋_GB2312" w:hAnsi="Times New Roman" w:eastAsia="仿宋_GB2312" w:cs="Times New Roman"/>
          <w:position w:val="-10"/>
          <w:sz w:val="30"/>
          <w:szCs w:val="30"/>
        </w:rPr>
        <w:drawing>
          <wp:inline distT="0" distB="0" distL="114300" distR="114300">
            <wp:extent cx="3840480" cy="4343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3840480" cy="434340"/>
                    </a:xfrm>
                    <a:prstGeom prst="rect">
                      <a:avLst/>
                    </a:prstGeom>
                    <a:noFill/>
                    <a:ln>
                      <a:noFill/>
                    </a:ln>
                  </pic:spPr>
                </pic:pic>
              </a:graphicData>
            </a:graphic>
          </wp:inline>
        </w:drawing>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其中：V和C的定义与本部分2的规定一致。</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（3）总附加暴露的计算公式为：</w:t>
      </w:r>
    </w:p>
    <w:p>
      <w:pPr>
        <w:spacing w:before="156" w:beforeLines="50" w:line="600" w:lineRule="exact"/>
        <w:ind w:firstLine="600" w:firstLineChars="200"/>
        <w:jc w:val="center"/>
        <w:rPr>
          <w:rFonts w:ascii="仿宋_GB2312" w:hAnsi="Times New Roman" w:eastAsia="仿宋_GB2312" w:cs="Times New Roman"/>
          <w:position w:val="-28"/>
          <w:sz w:val="30"/>
          <w:szCs w:val="30"/>
        </w:rPr>
      </w:pPr>
      <w:r>
        <w:rPr>
          <w:rFonts w:ascii="仿宋_GB2312" w:hAnsi="Times New Roman" w:eastAsia="仿宋_GB2312" w:cs="Times New Roman"/>
          <w:position w:val="-28"/>
          <w:sz w:val="30"/>
          <w:szCs w:val="30"/>
        </w:rPr>
        <w:drawing>
          <wp:inline distT="0" distB="0" distL="114300" distR="114300">
            <wp:extent cx="2156460" cy="4495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2156460" cy="449580"/>
                    </a:xfrm>
                    <a:prstGeom prst="rect">
                      <a:avLst/>
                    </a:prstGeom>
                    <a:noFill/>
                    <a:ln>
                      <a:noFill/>
                    </a:ln>
                  </pic:spPr>
                </pic:pic>
              </a:graphicData>
            </a:graphic>
          </wp:inline>
        </w:drawing>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其中：AddOn表示各资产类别下所有衍生工具的附加暴露总和。</w:t>
      </w:r>
    </w:p>
    <w:p>
      <w:pPr>
        <w:spacing w:line="480" w:lineRule="exact"/>
        <w:ind w:firstLine="60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30"/>
          <w:szCs w:val="30"/>
        </w:rPr>
        <w:t>（4）商业银行计算单个资产类别的附加暴露时，应当先将该资产类别下的全部衍生工具按照不同抵消组合划分，并分别计算每个抵消组合的附加暴露。各资产类别下所有交易的附加暴露总和计算公式如下：</w:t>
      </w: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hAnsi="宋体"/>
                <w:sz w:val="22"/>
                <w:szCs w:val="22"/>
              </w:rPr>
            </w:pPr>
            <w:r>
              <w:rPr>
                <w:rFonts w:ascii="宋体" w:hAnsi="宋体"/>
                <w:sz w:val="22"/>
                <w:szCs w:val="22"/>
              </w:rPr>
              <w:t>利率、</w:t>
            </w:r>
            <w:r>
              <w:rPr>
                <w:rFonts w:hint="eastAsia" w:ascii="宋体" w:hAnsi="宋体"/>
                <w:sz w:val="22"/>
                <w:szCs w:val="22"/>
              </w:rPr>
              <w:t>汇率</w:t>
            </w:r>
            <w:r>
              <w:rPr>
                <w:rFonts w:ascii="宋体" w:hAnsi="宋体"/>
                <w:sz w:val="22"/>
                <w:szCs w:val="22"/>
              </w:rPr>
              <w:t>和商品类</w:t>
            </w:r>
          </w:p>
        </w:tc>
        <w:tc>
          <w:tcPr>
            <w:tcW w:w="6237" w:type="dxa"/>
            <w:tcBorders>
              <w:top w:val="single" w:color="auto" w:sz="4" w:space="0"/>
              <w:left w:val="single" w:color="auto" w:sz="4" w:space="0"/>
              <w:bottom w:val="single" w:color="auto" w:sz="4" w:space="0"/>
              <w:right w:val="single" w:color="auto" w:sz="4" w:space="0"/>
            </w:tcBorders>
          </w:tcPr>
          <w:p>
            <w:pPr>
              <w:pStyle w:val="21"/>
              <w:ind w:firstLine="0" w:firstLineChars="0"/>
              <w:jc w:val="center"/>
              <w:rPr>
                <w:rFonts w:ascii="宋体" w:hAnsi="宋体"/>
                <w:sz w:val="22"/>
                <w:szCs w:val="22"/>
              </w:rPr>
            </w:pPr>
            <w:r>
              <w:rPr>
                <w:rFonts w:ascii="宋体" w:hAnsi="宋体"/>
                <w:position w:val="-30"/>
                <w:sz w:val="22"/>
                <w:szCs w:val="22"/>
              </w:rPr>
              <w:drawing>
                <wp:inline distT="0" distB="0" distL="114300" distR="114300">
                  <wp:extent cx="1440180" cy="35052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a:stretch>
                            <a:fillRect/>
                          </a:stretch>
                        </pic:blipFill>
                        <pic:spPr>
                          <a:xfrm>
                            <a:off x="0" y="0"/>
                            <a:ext cx="1440180" cy="3505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pPr>
              <w:pStyle w:val="21"/>
              <w:ind w:firstLine="0" w:firstLineChars="0"/>
              <w:jc w:val="center"/>
              <w:rPr>
                <w:rFonts w:ascii="宋体" w:hAnsi="宋体"/>
                <w:sz w:val="22"/>
                <w:szCs w:val="22"/>
              </w:rPr>
            </w:pPr>
          </w:p>
          <w:p>
            <w:pPr>
              <w:pStyle w:val="21"/>
              <w:ind w:firstLine="0" w:firstLineChars="0"/>
              <w:jc w:val="center"/>
              <w:rPr>
                <w:rFonts w:ascii="宋体" w:hAnsi="宋体"/>
                <w:sz w:val="22"/>
                <w:szCs w:val="22"/>
              </w:rPr>
            </w:pPr>
            <w:r>
              <w:rPr>
                <w:rFonts w:ascii="宋体" w:hAnsi="宋体"/>
                <w:sz w:val="22"/>
                <w:szCs w:val="22"/>
              </w:rPr>
              <w:t>信用、股票类</w:t>
            </w:r>
          </w:p>
        </w:tc>
        <w:tc>
          <w:tcPr>
            <w:tcW w:w="6237" w:type="dxa"/>
            <w:tcBorders>
              <w:top w:val="single" w:color="auto" w:sz="4" w:space="0"/>
              <w:left w:val="single" w:color="auto" w:sz="4" w:space="0"/>
              <w:bottom w:val="single" w:color="auto" w:sz="4" w:space="0"/>
              <w:right w:val="single" w:color="auto" w:sz="4" w:space="0"/>
            </w:tcBorders>
          </w:tcPr>
          <w:p>
            <w:pPr>
              <w:pStyle w:val="21"/>
              <w:ind w:firstLine="0" w:firstLineChars="0"/>
              <w:jc w:val="center"/>
              <w:rPr>
                <w:rFonts w:ascii="宋体" w:hAnsi="宋体"/>
                <w:sz w:val="22"/>
                <w:szCs w:val="22"/>
              </w:rPr>
            </w:pPr>
            <w:r>
              <w:rPr>
                <w:rFonts w:ascii="宋体" w:hAnsi="宋体"/>
                <w:position w:val="-40"/>
                <w:sz w:val="22"/>
                <w:szCs w:val="22"/>
              </w:rPr>
              <w:drawing>
                <wp:inline distT="0" distB="0" distL="114300" distR="114300">
                  <wp:extent cx="3810000" cy="502920"/>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3810000" cy="5029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tcBorders>
              <w:top w:val="single" w:color="auto" w:sz="4" w:space="0"/>
              <w:left w:val="single" w:color="auto" w:sz="4" w:space="0"/>
              <w:bottom w:val="single" w:color="auto" w:sz="4" w:space="0"/>
              <w:right w:val="single" w:color="auto" w:sz="4" w:space="0"/>
            </w:tcBorders>
          </w:tcPr>
          <w:p>
            <w:pPr>
              <w:pStyle w:val="21"/>
              <w:snapToGrid w:val="0"/>
              <w:ind w:firstLine="0" w:firstLineChars="0"/>
              <w:rPr>
                <w:rFonts w:ascii="宋体" w:hAnsi="宋体"/>
                <w:sz w:val="22"/>
                <w:szCs w:val="22"/>
              </w:rPr>
            </w:pPr>
            <w:r>
              <w:rPr>
                <w:rFonts w:ascii="宋体" w:hAnsi="宋体"/>
                <w:position w:val="-14"/>
                <w:sz w:val="22"/>
                <w:szCs w:val="22"/>
              </w:rPr>
              <w:drawing>
                <wp:inline distT="0" distB="0" distL="114300" distR="114300">
                  <wp:extent cx="533400" cy="23622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33400" cy="236220"/>
                          </a:xfrm>
                          <a:prstGeom prst="rect">
                            <a:avLst/>
                          </a:prstGeom>
                          <a:noFill/>
                          <a:ln>
                            <a:noFill/>
                          </a:ln>
                        </pic:spPr>
                      </pic:pic>
                    </a:graphicData>
                  </a:graphic>
                </wp:inline>
              </w:drawing>
            </w:r>
            <w:r>
              <w:rPr>
                <w:rFonts w:ascii="宋体" w:hAnsi="宋体"/>
                <w:sz w:val="22"/>
                <w:szCs w:val="22"/>
              </w:rPr>
              <w:t>为每个抵消组合内全部交易的附加暴露；</w:t>
            </w:r>
            <w:r>
              <w:rPr>
                <w:rFonts w:ascii="宋体" w:hAnsi="宋体"/>
                <w:position w:val="-14"/>
                <w:sz w:val="22"/>
                <w:szCs w:val="22"/>
              </w:rPr>
              <w:drawing>
                <wp:inline distT="0" distB="0" distL="114300" distR="114300">
                  <wp:extent cx="190500" cy="236220"/>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190500" cy="236220"/>
                          </a:xfrm>
                          <a:prstGeom prst="rect">
                            <a:avLst/>
                          </a:prstGeom>
                          <a:noFill/>
                          <a:ln>
                            <a:noFill/>
                          </a:ln>
                        </pic:spPr>
                      </pic:pic>
                    </a:graphicData>
                  </a:graphic>
                </wp:inline>
              </w:drawing>
            </w:r>
            <w:r>
              <w:rPr>
                <w:rFonts w:ascii="宋体" w:hAnsi="宋体"/>
                <w:sz w:val="22"/>
                <w:szCs w:val="22"/>
              </w:rPr>
              <w:t>为监管相关系数，详见表2。</w:t>
            </w:r>
          </w:p>
        </w:tc>
      </w:tr>
    </w:tbl>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（5）单个抵消组合内附加暴露的计算公式如下：</w:t>
      </w: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hAnsi="宋体"/>
                <w:sz w:val="22"/>
                <w:szCs w:val="22"/>
              </w:rPr>
            </w:pPr>
            <w:r>
              <w:rPr>
                <w:rFonts w:hint="eastAsia" w:ascii="宋体" w:hAnsi="宋体"/>
                <w:sz w:val="22"/>
                <w:szCs w:val="22"/>
              </w:rPr>
              <w:t>汇率</w:t>
            </w:r>
            <w:r>
              <w:rPr>
                <w:rFonts w:ascii="宋体" w:hAnsi="宋体"/>
                <w:sz w:val="22"/>
                <w:szCs w:val="22"/>
              </w:rPr>
              <w:t>类</w:t>
            </w:r>
          </w:p>
        </w:tc>
        <w:tc>
          <w:tcPr>
            <w:tcW w:w="6237" w:type="dxa"/>
            <w:tcBorders>
              <w:top w:val="single" w:color="auto" w:sz="4" w:space="0"/>
              <w:left w:val="single" w:color="auto" w:sz="4" w:space="0"/>
              <w:bottom w:val="single" w:color="auto" w:sz="4" w:space="0"/>
              <w:right w:val="single" w:color="auto" w:sz="4" w:space="0"/>
            </w:tcBorders>
          </w:tcPr>
          <w:p>
            <w:pPr>
              <w:pStyle w:val="21"/>
              <w:ind w:firstLine="0" w:firstLineChars="0"/>
              <w:jc w:val="center"/>
              <w:rPr>
                <w:rFonts w:ascii="宋体" w:hAnsi="宋体"/>
                <w:sz w:val="22"/>
                <w:szCs w:val="22"/>
              </w:rPr>
            </w:pPr>
            <w:r>
              <w:rPr>
                <w:rFonts w:ascii="宋体" w:hAnsi="宋体"/>
                <w:sz w:val="22"/>
                <w:szCs w:val="22"/>
              </w:rPr>
              <w:drawing>
                <wp:inline distT="0" distB="0" distL="114300" distR="114300">
                  <wp:extent cx="2209800" cy="274320"/>
                  <wp:effectExtent l="0" t="0" r="31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2209800" cy="2743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hAnsi="宋体"/>
                <w:sz w:val="22"/>
                <w:szCs w:val="22"/>
              </w:rPr>
            </w:pPr>
            <w:r>
              <w:rPr>
                <w:rFonts w:ascii="宋体" w:hAnsi="宋体"/>
                <w:sz w:val="22"/>
                <w:szCs w:val="22"/>
              </w:rPr>
              <w:t>商品类</w:t>
            </w:r>
          </w:p>
        </w:tc>
        <w:tc>
          <w:tcPr>
            <w:tcW w:w="6237" w:type="dxa"/>
            <w:tcBorders>
              <w:top w:val="single" w:color="auto" w:sz="4" w:space="0"/>
              <w:left w:val="single" w:color="auto" w:sz="4" w:space="0"/>
              <w:bottom w:val="single" w:color="auto" w:sz="4" w:space="0"/>
              <w:right w:val="single" w:color="auto" w:sz="4" w:space="0"/>
            </w:tcBorders>
          </w:tcPr>
          <w:p>
            <w:pPr>
              <w:pStyle w:val="21"/>
              <w:ind w:firstLine="0" w:firstLineChars="0"/>
              <w:jc w:val="center"/>
              <w:rPr>
                <w:rFonts w:ascii="宋体" w:hAnsi="宋体"/>
                <w:sz w:val="22"/>
                <w:szCs w:val="22"/>
              </w:rPr>
            </w:pPr>
            <w:r>
              <w:rPr>
                <w:rFonts w:ascii="宋体" w:hAnsi="宋体"/>
                <w:position w:val="-36"/>
                <w:sz w:val="22"/>
                <w:szCs w:val="22"/>
              </w:rPr>
              <w:drawing>
                <wp:inline distT="0" distB="0" distL="114300" distR="114300">
                  <wp:extent cx="3878580" cy="617220"/>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3878580" cy="617220"/>
                          </a:xfrm>
                          <a:prstGeom prst="rect">
                            <a:avLst/>
                          </a:prstGeom>
                          <a:noFill/>
                          <a:ln>
                            <a:noFill/>
                          </a:ln>
                        </pic:spPr>
                      </pic:pic>
                    </a:graphicData>
                  </a:graphic>
                </wp:inline>
              </w:drawing>
            </w:r>
            <w:r>
              <w:rPr>
                <w:rFonts w:ascii="宋体" w:hAnsi="宋体"/>
                <w:sz w:val="22"/>
                <w:szCs w:val="22"/>
              </w:rPr>
              <w:t>其中，</w:t>
            </w:r>
            <w:r>
              <w:rPr>
                <w:rFonts w:ascii="宋体" w:hAnsi="宋体"/>
                <w:position w:val="-12"/>
                <w:sz w:val="22"/>
                <w:szCs w:val="22"/>
              </w:rPr>
              <w:drawing>
                <wp:inline distT="0" distB="0" distL="114300" distR="114300">
                  <wp:extent cx="533400" cy="2286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33400" cy="228600"/>
                          </a:xfrm>
                          <a:prstGeom prst="rect">
                            <a:avLst/>
                          </a:prstGeom>
                          <a:noFill/>
                          <a:ln>
                            <a:noFill/>
                          </a:ln>
                        </pic:spPr>
                      </pic:pic>
                    </a:graphicData>
                  </a:graphic>
                </wp:inline>
              </w:drawing>
            </w:r>
            <w:r>
              <w:rPr>
                <w:rFonts w:ascii="宋体" w:hAnsi="宋体"/>
                <w:sz w:val="22"/>
                <w:szCs w:val="22"/>
              </w:rPr>
              <w:t>为每个商品子类</w:t>
            </w:r>
            <w:r>
              <w:rPr>
                <w:rFonts w:ascii="宋体" w:hAnsi="宋体"/>
                <w:i/>
                <w:iCs/>
                <w:sz w:val="22"/>
                <w:szCs w:val="22"/>
              </w:rPr>
              <w:t>k</w:t>
            </w:r>
            <w:r>
              <w:rPr>
                <w:rFonts w:ascii="宋体" w:hAnsi="宋体"/>
                <w:sz w:val="22"/>
                <w:szCs w:val="22"/>
              </w:rPr>
              <w:t>的附加暴露，计算方法为：</w:t>
            </w:r>
          </w:p>
          <w:p>
            <w:pPr>
              <w:pStyle w:val="21"/>
              <w:ind w:firstLine="0" w:firstLineChars="0"/>
              <w:jc w:val="center"/>
              <w:rPr>
                <w:rFonts w:ascii="宋体" w:hAnsi="宋体"/>
                <w:sz w:val="22"/>
                <w:szCs w:val="22"/>
              </w:rPr>
            </w:pPr>
            <w:r>
              <w:rPr>
                <w:rFonts w:ascii="宋体" w:hAnsi="宋体"/>
                <w:position w:val="-12"/>
                <w:sz w:val="22"/>
              </w:rPr>
              <w:drawing>
                <wp:inline distT="0" distB="0" distL="114300" distR="114300">
                  <wp:extent cx="2164080" cy="228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2164080"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hAnsi="宋体"/>
                <w:sz w:val="22"/>
                <w:szCs w:val="22"/>
              </w:rPr>
            </w:pPr>
            <w:r>
              <w:rPr>
                <w:rFonts w:ascii="宋体" w:hAnsi="宋体"/>
                <w:sz w:val="22"/>
                <w:szCs w:val="22"/>
              </w:rPr>
              <w:t>利率、信用和股票类</w:t>
            </w:r>
          </w:p>
        </w:tc>
        <w:tc>
          <w:tcPr>
            <w:tcW w:w="6237" w:type="dxa"/>
            <w:tcBorders>
              <w:top w:val="single" w:color="auto" w:sz="4" w:space="0"/>
              <w:left w:val="single" w:color="auto" w:sz="4" w:space="0"/>
              <w:bottom w:val="single" w:color="auto" w:sz="4" w:space="0"/>
              <w:right w:val="single" w:color="auto" w:sz="4" w:space="0"/>
            </w:tcBorders>
          </w:tcPr>
          <w:p>
            <w:pPr>
              <w:pStyle w:val="21"/>
              <w:ind w:firstLine="0" w:firstLineChars="0"/>
              <w:jc w:val="center"/>
              <w:rPr>
                <w:rFonts w:ascii="宋体" w:hAnsi="宋体"/>
                <w:sz w:val="22"/>
                <w:szCs w:val="22"/>
              </w:rPr>
            </w:pPr>
            <w:r>
              <w:rPr>
                <w:rFonts w:ascii="宋体" w:hAnsi="宋体"/>
                <w:position w:val="-14"/>
                <w:sz w:val="22"/>
                <w:szCs w:val="22"/>
              </w:rPr>
              <w:drawing>
                <wp:inline distT="0" distB="0" distL="114300" distR="114300">
                  <wp:extent cx="2141220" cy="236220"/>
                  <wp:effectExtent l="0" t="0" r="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2141220" cy="2362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tcBorders>
              <w:top w:val="single" w:color="auto" w:sz="4" w:space="0"/>
              <w:left w:val="single" w:color="auto" w:sz="4" w:space="0"/>
              <w:bottom w:val="single" w:color="auto" w:sz="4" w:space="0"/>
              <w:right w:val="single" w:color="auto" w:sz="4" w:space="0"/>
            </w:tcBorders>
          </w:tcPr>
          <w:p>
            <w:pPr>
              <w:pStyle w:val="21"/>
              <w:ind w:firstLine="0" w:firstLineChars="0"/>
              <w:rPr>
                <w:rFonts w:ascii="宋体" w:hAnsi="宋体"/>
                <w:sz w:val="22"/>
                <w:szCs w:val="22"/>
              </w:rPr>
            </w:pPr>
            <w:r>
              <w:rPr>
                <w:rFonts w:ascii="宋体" w:hAnsi="宋体"/>
                <w:sz w:val="22"/>
                <w:szCs w:val="22"/>
              </w:rPr>
              <w:t>其中：</w:t>
            </w:r>
            <w:r>
              <w:rPr>
                <w:rFonts w:ascii="宋体" w:hAnsi="宋体"/>
                <w:i/>
                <w:iCs/>
                <w:sz w:val="22"/>
                <w:szCs w:val="22"/>
              </w:rPr>
              <w:t>SF</w:t>
            </w:r>
            <w:r>
              <w:rPr>
                <w:rFonts w:ascii="宋体" w:hAnsi="宋体"/>
                <w:sz w:val="22"/>
                <w:szCs w:val="22"/>
              </w:rPr>
              <w:t>为监管因子，根据表2确定；</w:t>
            </w:r>
          </w:p>
          <w:p>
            <w:pPr>
              <w:pStyle w:val="21"/>
              <w:ind w:firstLine="0" w:firstLineChars="0"/>
              <w:rPr>
                <w:rFonts w:ascii="宋体" w:hAnsi="宋体"/>
                <w:sz w:val="22"/>
                <w:szCs w:val="22"/>
              </w:rPr>
            </w:pPr>
            <w:r>
              <w:rPr>
                <w:rFonts w:ascii="宋体" w:hAnsi="宋体"/>
                <w:i/>
                <w:iCs/>
                <w:sz w:val="22"/>
                <w:szCs w:val="22"/>
              </w:rPr>
              <w:t>EffectiveNotional</w:t>
            </w:r>
            <w:r>
              <w:rPr>
                <w:rFonts w:ascii="宋体" w:hAnsi="宋体"/>
                <w:sz w:val="22"/>
                <w:szCs w:val="22"/>
              </w:rPr>
              <w:t>为有效名义本金，商品类为单个商品子类的有效名义本金，其余类型为单个抵消组合的有效名义本金。</w:t>
            </w:r>
          </w:p>
        </w:tc>
      </w:tr>
    </w:tbl>
    <w:p>
      <w:pPr>
        <w:keepNext/>
        <w:widowControl/>
        <w:spacing w:before="156" w:beforeLines="50" w:line="480" w:lineRule="exact"/>
        <w:ind w:firstLine="562" w:firstLineChars="200"/>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表</w:t>
      </w:r>
      <w:r>
        <w:rPr>
          <w:rFonts w:hint="eastAsia" w:ascii="仿宋_GB2312" w:hAnsi="Times New Roman" w:eastAsia="仿宋_GB2312" w:cs="Times New Roman"/>
          <w:b/>
          <w:sz w:val="28"/>
          <w:szCs w:val="28"/>
        </w:rPr>
        <w:t xml:space="preserve">2 </w:t>
      </w:r>
      <w:r>
        <w:rPr>
          <w:rFonts w:ascii="Times New Roman" w:hAnsi="Times New Roman" w:eastAsia="楷体_GB2312" w:cs="Times New Roman"/>
          <w:b/>
          <w:sz w:val="28"/>
          <w:szCs w:val="28"/>
        </w:rPr>
        <w:t>监管系数表汇总表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704" w:type="dxa"/>
            <w:vAlign w:val="center"/>
          </w:tcPr>
          <w:p>
            <w:pPr>
              <w:jc w:val="center"/>
              <w:rPr>
                <w:rFonts w:ascii="宋体" w:hAnsi="宋体" w:eastAsia="宋体" w:cs="宋体"/>
                <w:kern w:val="0"/>
                <w:sz w:val="24"/>
                <w:szCs w:val="24"/>
              </w:rPr>
            </w:pPr>
            <w:r>
              <w:rPr>
                <w:rFonts w:hint="eastAsia" w:ascii="宋体" w:hAnsi="宋体" w:eastAsia="宋体" w:cs="宋体"/>
                <w:b/>
                <w:kern w:val="0"/>
                <w:sz w:val="24"/>
                <w:szCs w:val="24"/>
              </w:rPr>
              <w:t>类别</w:t>
            </w:r>
          </w:p>
        </w:tc>
        <w:tc>
          <w:tcPr>
            <w:tcW w:w="1704" w:type="dxa"/>
            <w:vAlign w:val="center"/>
          </w:tcPr>
          <w:p>
            <w:pPr>
              <w:jc w:val="center"/>
              <w:rPr>
                <w:rFonts w:ascii="宋体" w:hAnsi="宋体" w:eastAsia="宋体" w:cs="宋体"/>
                <w:kern w:val="0"/>
                <w:sz w:val="24"/>
                <w:szCs w:val="24"/>
              </w:rPr>
            </w:pPr>
            <w:r>
              <w:rPr>
                <w:rFonts w:hint="eastAsia" w:ascii="宋体" w:hAnsi="宋体" w:eastAsia="宋体" w:cs="宋体"/>
                <w:b/>
                <w:kern w:val="0"/>
                <w:sz w:val="24"/>
                <w:szCs w:val="24"/>
              </w:rPr>
              <w:t>子类</w:t>
            </w:r>
          </w:p>
        </w:tc>
        <w:tc>
          <w:tcPr>
            <w:tcW w:w="1704" w:type="dxa"/>
            <w:vAlign w:val="center"/>
          </w:tcPr>
          <w:p>
            <w:pPr>
              <w:jc w:val="center"/>
              <w:rPr>
                <w:rFonts w:ascii="宋体" w:hAnsi="宋体" w:eastAsia="宋体" w:cs="宋体"/>
                <w:kern w:val="0"/>
                <w:sz w:val="24"/>
                <w:szCs w:val="24"/>
              </w:rPr>
            </w:pPr>
            <w:r>
              <w:rPr>
                <w:rFonts w:hint="eastAsia" w:ascii="宋体" w:hAnsi="宋体" w:eastAsia="宋体" w:cs="宋体"/>
                <w:b/>
                <w:kern w:val="0"/>
                <w:sz w:val="24"/>
                <w:szCs w:val="24"/>
              </w:rPr>
              <w:t>监管因子</w:t>
            </w:r>
          </w:p>
        </w:tc>
        <w:tc>
          <w:tcPr>
            <w:tcW w:w="1705" w:type="dxa"/>
            <w:vAlign w:val="center"/>
          </w:tcPr>
          <w:p>
            <w:pPr>
              <w:jc w:val="center"/>
              <w:rPr>
                <w:rFonts w:ascii="宋体" w:hAnsi="宋体" w:eastAsia="宋体" w:cs="宋体"/>
                <w:kern w:val="0"/>
                <w:sz w:val="24"/>
                <w:szCs w:val="24"/>
              </w:rPr>
            </w:pPr>
            <w:r>
              <w:rPr>
                <w:rFonts w:hint="eastAsia" w:ascii="宋体" w:hAnsi="宋体" w:eastAsia="宋体" w:cs="宋体"/>
                <w:b/>
                <w:kern w:val="0"/>
                <w:sz w:val="24"/>
                <w:szCs w:val="24"/>
              </w:rPr>
              <w:t>监管相关系数</w:t>
            </w:r>
          </w:p>
        </w:tc>
        <w:tc>
          <w:tcPr>
            <w:tcW w:w="1705" w:type="dxa"/>
            <w:vAlign w:val="center"/>
          </w:tcPr>
          <w:p>
            <w:pPr>
              <w:jc w:val="center"/>
              <w:rPr>
                <w:rFonts w:ascii="宋体" w:hAnsi="宋体" w:eastAsia="宋体" w:cs="宋体"/>
                <w:kern w:val="0"/>
                <w:sz w:val="24"/>
                <w:szCs w:val="24"/>
              </w:rPr>
            </w:pPr>
            <w:r>
              <w:rPr>
                <w:rFonts w:hint="eastAsia" w:ascii="宋体" w:hAnsi="宋体" w:eastAsia="宋体" w:cs="宋体"/>
                <w:b/>
                <w:kern w:val="0"/>
                <w:sz w:val="24"/>
                <w:szCs w:val="24"/>
              </w:rPr>
              <w:t>监管波动率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利率</w:t>
            </w:r>
          </w:p>
        </w:tc>
        <w:tc>
          <w:tcPr>
            <w:tcW w:w="1704"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704" w:type="dxa"/>
          </w:tcPr>
          <w:p>
            <w:pPr>
              <w:jc w:val="center"/>
              <w:rPr>
                <w:rFonts w:ascii="宋体" w:hAnsi="宋体" w:eastAsia="宋体" w:cs="宋体"/>
                <w:kern w:val="0"/>
                <w:sz w:val="24"/>
                <w:szCs w:val="24"/>
              </w:rPr>
            </w:pPr>
            <w:r>
              <w:rPr>
                <w:rFonts w:hint="eastAsia" w:ascii="宋体" w:hAnsi="宋体" w:eastAsia="宋体" w:cs="宋体"/>
                <w:kern w:val="0"/>
                <w:sz w:val="24"/>
                <w:szCs w:val="24"/>
              </w:rPr>
              <w:t>0.50%</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N/A</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汇率</w:t>
            </w:r>
          </w:p>
        </w:tc>
        <w:tc>
          <w:tcPr>
            <w:tcW w:w="1704" w:type="dxa"/>
            <w:vMerge w:val="continue"/>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N/A</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信用，单一</w:t>
            </w:r>
          </w:p>
        </w:tc>
        <w:tc>
          <w:tcPr>
            <w:tcW w:w="1704" w:type="dxa"/>
          </w:tcPr>
          <w:p>
            <w:pPr>
              <w:jc w:val="center"/>
              <w:rPr>
                <w:rFonts w:ascii="宋体" w:hAnsi="宋体" w:eastAsia="宋体" w:cs="宋体"/>
                <w:kern w:val="0"/>
                <w:sz w:val="24"/>
                <w:szCs w:val="24"/>
              </w:rPr>
            </w:pPr>
            <w:r>
              <w:rPr>
                <w:rFonts w:hint="eastAsia" w:ascii="宋体" w:hAnsi="宋体" w:eastAsia="宋体" w:cs="宋体"/>
                <w:kern w:val="0"/>
                <w:sz w:val="24"/>
                <w:szCs w:val="24"/>
              </w:rPr>
              <w:t>AAA</w:t>
            </w:r>
          </w:p>
        </w:tc>
        <w:tc>
          <w:tcPr>
            <w:tcW w:w="1704" w:type="dxa"/>
          </w:tcPr>
          <w:p>
            <w:pPr>
              <w:jc w:val="center"/>
              <w:rPr>
                <w:rFonts w:ascii="宋体" w:hAnsi="宋体" w:eastAsia="宋体" w:cs="宋体"/>
                <w:kern w:val="0"/>
                <w:sz w:val="24"/>
                <w:szCs w:val="24"/>
              </w:rPr>
            </w:pPr>
            <w:r>
              <w:rPr>
                <w:rFonts w:hint="eastAsia" w:ascii="宋体" w:hAnsi="宋体" w:eastAsia="宋体" w:cs="宋体"/>
                <w:kern w:val="0"/>
                <w:sz w:val="24"/>
                <w:szCs w:val="24"/>
              </w:rPr>
              <w:t>0.38%</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AA</w:t>
            </w: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0.38%</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50%</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A</w:t>
            </w: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0.42%</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50%</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BBB</w:t>
            </w: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0.54%</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50%</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BB或无评级</w:t>
            </w: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1.06%</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50%</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B</w:t>
            </w: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1.6%</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50%</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CCC</w:t>
            </w: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6.0%</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50%</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信用，指数</w:t>
            </w:r>
          </w:p>
        </w:tc>
        <w:tc>
          <w:tcPr>
            <w:tcW w:w="1704" w:type="dxa"/>
          </w:tcPr>
          <w:p>
            <w:pPr>
              <w:jc w:val="center"/>
              <w:rPr>
                <w:rFonts w:ascii="宋体" w:hAnsi="宋体" w:eastAsia="宋体" w:cs="宋体"/>
                <w:kern w:val="0"/>
                <w:sz w:val="24"/>
                <w:szCs w:val="24"/>
              </w:rPr>
            </w:pPr>
            <w:r>
              <w:rPr>
                <w:rFonts w:hint="eastAsia" w:ascii="宋体" w:hAnsi="宋体" w:eastAsia="宋体" w:cs="宋体"/>
                <w:kern w:val="0"/>
                <w:sz w:val="24"/>
                <w:szCs w:val="24"/>
              </w:rPr>
              <w:t>IG</w:t>
            </w:r>
          </w:p>
        </w:tc>
        <w:tc>
          <w:tcPr>
            <w:tcW w:w="1704" w:type="dxa"/>
          </w:tcPr>
          <w:p>
            <w:pPr>
              <w:jc w:val="center"/>
              <w:rPr>
                <w:rFonts w:ascii="宋体" w:hAnsi="宋体" w:eastAsia="宋体" w:cs="宋体"/>
                <w:kern w:val="0"/>
                <w:sz w:val="24"/>
                <w:szCs w:val="24"/>
              </w:rPr>
            </w:pPr>
            <w:r>
              <w:rPr>
                <w:rFonts w:hint="eastAsia" w:ascii="宋体" w:hAnsi="宋体" w:eastAsia="宋体" w:cs="宋体"/>
                <w:kern w:val="0"/>
                <w:sz w:val="24"/>
                <w:szCs w:val="24"/>
              </w:rPr>
              <w:t>0.38%</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SG</w:t>
            </w: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1.06%</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80%</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股票，单一</w:t>
            </w:r>
          </w:p>
        </w:tc>
        <w:tc>
          <w:tcPr>
            <w:tcW w:w="1704"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704" w:type="dxa"/>
          </w:tcPr>
          <w:p>
            <w:pPr>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股票，指数</w:t>
            </w:r>
          </w:p>
        </w:tc>
        <w:tc>
          <w:tcPr>
            <w:tcW w:w="1704" w:type="dxa"/>
            <w:vMerge w:val="continue"/>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商品</w:t>
            </w:r>
          </w:p>
        </w:tc>
        <w:tc>
          <w:tcPr>
            <w:tcW w:w="1704" w:type="dxa"/>
          </w:tcPr>
          <w:p>
            <w:pPr>
              <w:jc w:val="center"/>
              <w:rPr>
                <w:rFonts w:ascii="宋体" w:hAnsi="宋体" w:eastAsia="宋体" w:cs="宋体"/>
                <w:kern w:val="0"/>
                <w:sz w:val="24"/>
                <w:szCs w:val="24"/>
              </w:rPr>
            </w:pPr>
            <w:r>
              <w:rPr>
                <w:rFonts w:hint="eastAsia" w:ascii="宋体" w:hAnsi="宋体" w:eastAsia="宋体" w:cs="宋体"/>
                <w:kern w:val="0"/>
                <w:sz w:val="24"/>
                <w:szCs w:val="24"/>
              </w:rPr>
              <w:t>电力</w:t>
            </w:r>
          </w:p>
        </w:tc>
        <w:tc>
          <w:tcPr>
            <w:tcW w:w="1704" w:type="dxa"/>
          </w:tcPr>
          <w:p>
            <w:pPr>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1705" w:type="dxa"/>
          </w:tcPr>
          <w:p>
            <w:pPr>
              <w:jc w:val="center"/>
              <w:rPr>
                <w:rFonts w:ascii="宋体" w:hAnsi="宋体" w:eastAsia="宋体" w:cs="宋体"/>
                <w:kern w:val="0"/>
                <w:sz w:val="24"/>
                <w:szCs w:val="24"/>
              </w:rPr>
            </w:pPr>
            <w:r>
              <w:rPr>
                <w:rFonts w:hint="eastAsia" w:ascii="宋体" w:hAnsi="宋体" w:eastAsia="宋体" w:cs="宋体"/>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油/气</w:t>
            </w: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18%</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40%</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金属</w:t>
            </w: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18%</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40%</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农业</w:t>
            </w: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18%</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40%</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ascii="宋体" w:hAnsi="宋体" w:eastAsia="宋体" w:cs="宋体"/>
                <w:kern w:val="0"/>
                <w:sz w:val="24"/>
                <w:szCs w:val="24"/>
              </w:rPr>
            </w:pP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其他</w:t>
            </w:r>
          </w:p>
        </w:tc>
        <w:tc>
          <w:tcPr>
            <w:tcW w:w="1704" w:type="dxa"/>
          </w:tcPr>
          <w:p>
            <w:pPr>
              <w:jc w:val="center"/>
              <w:rPr>
                <w:rFonts w:ascii="宋体" w:hAnsi="宋体" w:eastAsia="宋体" w:cs="宋体"/>
                <w:kern w:val="0"/>
                <w:sz w:val="24"/>
                <w:szCs w:val="24"/>
              </w:rPr>
            </w:pPr>
            <w:r>
              <w:rPr>
                <w:rFonts w:ascii="宋体" w:hAnsi="宋体" w:eastAsia="宋体" w:cs="宋体"/>
                <w:kern w:val="0"/>
                <w:sz w:val="24"/>
                <w:szCs w:val="24"/>
              </w:rPr>
              <w:t>18%</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40%</w:t>
            </w:r>
          </w:p>
        </w:tc>
        <w:tc>
          <w:tcPr>
            <w:tcW w:w="1705" w:type="dxa"/>
          </w:tcPr>
          <w:p>
            <w:pPr>
              <w:jc w:val="center"/>
              <w:rPr>
                <w:rFonts w:ascii="宋体" w:hAnsi="宋体" w:eastAsia="宋体" w:cs="宋体"/>
                <w:kern w:val="0"/>
                <w:sz w:val="24"/>
                <w:szCs w:val="24"/>
              </w:rPr>
            </w:pPr>
            <w:r>
              <w:rPr>
                <w:rFonts w:ascii="宋体" w:hAnsi="宋体" w:eastAsia="宋体" w:cs="宋体"/>
                <w:kern w:val="0"/>
                <w:sz w:val="24"/>
                <w:szCs w:val="24"/>
              </w:rPr>
              <w:t>70%</w:t>
            </w:r>
          </w:p>
        </w:tc>
      </w:tr>
    </w:tbl>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（6）商业银行可选择以下方法之一，计算利率类衍生工具单个抵消组合的有效名义本金：</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a.考虑跨期限抵消</w:t>
      </w:r>
    </w:p>
    <w:p>
      <w:pPr>
        <w:spacing w:before="156" w:beforeLines="50" w:after="156" w:afterLines="50" w:line="800" w:lineRule="exact"/>
        <w:jc w:val="center"/>
        <w:rPr>
          <w:rFonts w:ascii="仿宋_GB2312" w:hAnsi="Times New Roman" w:eastAsia="仿宋_GB2312" w:cs="Times New Roman"/>
          <w:sz w:val="30"/>
          <w:szCs w:val="30"/>
        </w:rPr>
      </w:pPr>
      <w:r>
        <w:rPr>
          <w:rFonts w:ascii="仿宋_GB2312" w:hAnsi="Times New Roman" w:eastAsia="仿宋_GB2312" w:cs="Times New Roman"/>
          <w:sz w:val="30"/>
          <w:szCs w:val="30"/>
        </w:rPr>
        <w:drawing>
          <wp:inline distT="0" distB="0" distL="114300" distR="114300">
            <wp:extent cx="4876800" cy="4495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4876800" cy="449580"/>
                    </a:xfrm>
                    <a:prstGeom prst="rect">
                      <a:avLst/>
                    </a:prstGeom>
                    <a:noFill/>
                    <a:ln>
                      <a:noFill/>
                    </a:ln>
                  </pic:spPr>
                </pic:pic>
              </a:graphicData>
            </a:graphic>
          </wp:inline>
        </w:drawing>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b.不考虑跨期限抵消</w:t>
      </w:r>
    </w:p>
    <w:p>
      <w:pPr>
        <w:spacing w:before="156" w:beforeLines="50" w:after="156" w:afterLines="50" w:line="480" w:lineRule="exact"/>
        <w:ind w:firstLine="600" w:firstLineChars="200"/>
        <w:jc w:val="center"/>
        <w:rPr>
          <w:rFonts w:ascii="仿宋_GB2312" w:hAnsi="Calibri" w:eastAsia="仿宋_GB2312" w:cs="Times New Roman"/>
          <w:position w:val="-16"/>
          <w:sz w:val="30"/>
          <w:szCs w:val="30"/>
        </w:rPr>
      </w:pPr>
      <w:r>
        <w:rPr>
          <w:rFonts w:hint="eastAsia" w:ascii="仿宋_GB2312" w:hAnsi="Calibri" w:eastAsia="仿宋_GB2312" w:cs="Times New Roman"/>
          <w:position w:val="-16"/>
          <w:sz w:val="30"/>
          <w:szCs w:val="30"/>
        </w:rPr>
        <w:object>
          <v:shape id="_x0000_i1025" o:spt="75" type="#_x0000_t75" style="height:22.65pt;width:189.35pt;" o:ole="t" filled="f" o:preferrelative="t" stroked="f" coordsize="21600,21600">
            <v:path/>
            <v:fill on="f" focussize="0,0"/>
            <v:stroke on="f" joinstyle="miter"/>
            <v:imagedata r:id="rId20" o:title=""/>
            <o:lock v:ext="edit" aspectratio="t"/>
            <w10:wrap type="none"/>
            <w10:anchorlock/>
          </v:shape>
          <o:OLEObject Type="Embed" ProgID="Equation.DSMT4" ShapeID="_x0000_i1025" DrawAspect="Content" ObjectID="_1468075725" r:id="rId19">
            <o:LockedField>false</o:LockedField>
          </o:OLEObject>
        </w:objec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利率类衍生工具应先计算单个抵消组合j下各时段内的有效名义本金，时段应根据交易终止日划分为三种：少于1年，1年至5年之间，大于5年。各时段内有效名义本金计算公式如下：</w:t>
      </w:r>
    </w:p>
    <w:p>
      <w:pPr>
        <w:jc w:val="center"/>
        <w:rPr>
          <w:rFonts w:ascii="仿宋_GB2312" w:hAnsi="Times New Roman" w:eastAsia="仿宋_GB2312" w:cs="Times New Roman"/>
          <w:position w:val="-28"/>
          <w:sz w:val="30"/>
          <w:szCs w:val="30"/>
        </w:rPr>
      </w:pPr>
      <w:r>
        <w:rPr>
          <w:rFonts w:ascii="仿宋_GB2312" w:hAnsi="Times New Roman" w:eastAsia="仿宋_GB2312" w:cs="Times New Roman"/>
          <w:position w:val="-28"/>
          <w:sz w:val="30"/>
          <w:szCs w:val="30"/>
        </w:rPr>
        <w:drawing>
          <wp:inline distT="0" distB="0" distL="114300" distR="114300">
            <wp:extent cx="1661160" cy="426720"/>
            <wp:effectExtent l="0" t="0" r="0" b="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21"/>
                    <a:stretch>
                      <a:fillRect/>
                    </a:stretch>
                  </pic:blipFill>
                  <pic:spPr>
                    <a:xfrm>
                      <a:off x="0" y="0"/>
                      <a:ext cx="1661160" cy="426720"/>
                    </a:xfrm>
                    <a:prstGeom prst="rect">
                      <a:avLst/>
                    </a:prstGeom>
                    <a:noFill/>
                    <a:ln>
                      <a:noFill/>
                    </a:ln>
                  </pic:spPr>
                </pic:pic>
              </a:graphicData>
            </a:graphic>
          </wp:inline>
        </w:drawing>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 xml:space="preserve">δ为监管得尔塔系数，按照表3的分类计算。 </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d为调整后的名义本金。</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MF为反映不同类型衍生工具交易持有期的期限因子。</w:t>
      </w:r>
    </w:p>
    <w:p>
      <w:pPr>
        <w:widowControl/>
        <w:spacing w:line="480" w:lineRule="exact"/>
        <w:ind w:firstLine="562" w:firstLineChars="200"/>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表</w:t>
      </w:r>
      <w:r>
        <w:rPr>
          <w:rFonts w:hint="eastAsia" w:ascii="楷体_GB2312" w:hAnsi="Times New Roman" w:eastAsia="楷体_GB2312" w:cs="Times New Roman"/>
          <w:b/>
          <w:sz w:val="28"/>
          <w:szCs w:val="28"/>
        </w:rPr>
        <w:t>3</w:t>
      </w:r>
      <w:r>
        <w:rPr>
          <w:rFonts w:ascii="Times New Roman" w:hAnsi="Times New Roman" w:eastAsia="楷体_GB2312" w:cs="Times New Roman"/>
          <w:b/>
          <w:sz w:val="28"/>
          <w:szCs w:val="28"/>
        </w:rPr>
        <w:t xml:space="preserve"> 监管得尔塔系数计算方法</w:t>
      </w:r>
    </w:p>
    <w:tbl>
      <w:tblPr>
        <w:tblStyle w:val="15"/>
        <w:tblW w:w="7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2665"/>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vAlign w:val="center"/>
          </w:tcPr>
          <w:p>
            <w:pPr>
              <w:jc w:val="center"/>
              <w:rPr>
                <w:rFonts w:ascii="宋体" w:hAnsi="宋体" w:eastAsia="宋体" w:cs="Times New Roman"/>
                <w:b/>
                <w:bCs/>
                <w:kern w:val="0"/>
                <w:sz w:val="22"/>
              </w:rPr>
            </w:pPr>
            <w:r>
              <w:rPr>
                <w:rFonts w:ascii="宋体" w:hAnsi="宋体" w:eastAsia="宋体" w:cs="Times New Roman"/>
                <w:b/>
                <w:bCs/>
                <w:position w:val="-12"/>
                <w:sz w:val="22"/>
              </w:rPr>
              <w:drawing>
                <wp:inline distT="0" distB="0" distL="114300" distR="114300">
                  <wp:extent cx="152400" cy="228600"/>
                  <wp:effectExtent l="0" t="0" r="0" b="0"/>
                  <wp:docPr id="18" name="图片 19"/>
                  <wp:cNvGraphicFramePr/>
                  <a:graphic xmlns:a="http://schemas.openxmlformats.org/drawingml/2006/main">
                    <a:graphicData uri="http://schemas.openxmlformats.org/drawingml/2006/picture">
                      <pic:pic xmlns:pic="http://schemas.openxmlformats.org/drawingml/2006/picture">
                        <pic:nvPicPr>
                          <pic:cNvPr id="18" name="图片 19"/>
                          <pic:cNvPicPr/>
                        </pic:nvPicPr>
                        <pic:blipFill>
                          <a:blip r:embed="rId22"/>
                          <a:stretch>
                            <a:fillRect/>
                          </a:stretch>
                        </pic:blipFill>
                        <pic:spPr>
                          <a:xfrm>
                            <a:off x="0" y="0"/>
                            <a:ext cx="152400" cy="228600"/>
                          </a:xfrm>
                          <a:prstGeom prst="rect">
                            <a:avLst/>
                          </a:prstGeom>
                          <a:noFill/>
                          <a:ln>
                            <a:noFill/>
                          </a:ln>
                        </pic:spPr>
                      </pic:pic>
                    </a:graphicData>
                  </a:graphic>
                </wp:inline>
              </w:drawing>
            </w:r>
          </w:p>
        </w:tc>
        <w:tc>
          <w:tcPr>
            <w:tcW w:w="2665" w:type="dxa"/>
            <w:vAlign w:val="center"/>
          </w:tcPr>
          <w:p>
            <w:pPr>
              <w:jc w:val="center"/>
              <w:rPr>
                <w:rFonts w:ascii="宋体" w:hAnsi="宋体" w:eastAsia="宋体" w:cs="Times New Roman"/>
                <w:b/>
                <w:bCs/>
                <w:kern w:val="0"/>
                <w:sz w:val="22"/>
              </w:rPr>
            </w:pPr>
            <w:r>
              <w:rPr>
                <w:rFonts w:ascii="宋体" w:hAnsi="宋体" w:eastAsia="宋体" w:cs="Times New Roman"/>
                <w:b/>
                <w:bCs/>
                <w:kern w:val="0"/>
                <w:sz w:val="22"/>
              </w:rPr>
              <w:t>主要风险因子的多头</w:t>
            </w:r>
          </w:p>
        </w:tc>
        <w:tc>
          <w:tcPr>
            <w:tcW w:w="2666" w:type="dxa"/>
            <w:vAlign w:val="center"/>
          </w:tcPr>
          <w:p>
            <w:pPr>
              <w:jc w:val="center"/>
              <w:rPr>
                <w:rFonts w:ascii="宋体" w:hAnsi="宋体" w:eastAsia="宋体" w:cs="Times New Roman"/>
                <w:b/>
                <w:bCs/>
                <w:kern w:val="0"/>
                <w:sz w:val="22"/>
              </w:rPr>
            </w:pPr>
            <w:r>
              <w:rPr>
                <w:rFonts w:ascii="宋体" w:hAnsi="宋体" w:eastAsia="宋体" w:cs="Times New Roman"/>
                <w:b/>
                <w:bCs/>
                <w:kern w:val="0"/>
                <w:sz w:val="22"/>
              </w:rPr>
              <w:t>主要风险因子的空头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vAlign w:val="center"/>
          </w:tcPr>
          <w:p>
            <w:pPr>
              <w:jc w:val="center"/>
              <w:rPr>
                <w:rFonts w:ascii="宋体" w:hAnsi="宋体" w:eastAsia="宋体" w:cs="Times New Roman"/>
                <w:kern w:val="0"/>
                <w:sz w:val="22"/>
              </w:rPr>
            </w:pPr>
            <w:r>
              <w:rPr>
                <w:rFonts w:ascii="宋体" w:hAnsi="宋体" w:eastAsia="宋体" w:cs="Times New Roman"/>
                <w:kern w:val="0"/>
                <w:sz w:val="22"/>
              </w:rPr>
              <w:t>非期权非</w:t>
            </w:r>
            <w:r>
              <w:rPr>
                <w:rFonts w:ascii="宋体" w:hAnsi="宋体" w:eastAsia="宋体" w:cs="Times New Roman"/>
                <w:i/>
                <w:iCs/>
                <w:kern w:val="0"/>
                <w:sz w:val="22"/>
              </w:rPr>
              <w:t>CDO</w:t>
            </w:r>
            <w:r>
              <w:rPr>
                <w:rFonts w:ascii="宋体" w:hAnsi="宋体" w:eastAsia="宋体" w:cs="Times New Roman"/>
                <w:kern w:val="0"/>
                <w:sz w:val="22"/>
              </w:rPr>
              <w:t>产品</w:t>
            </w:r>
          </w:p>
        </w:tc>
        <w:tc>
          <w:tcPr>
            <w:tcW w:w="2665" w:type="dxa"/>
            <w:vAlign w:val="center"/>
          </w:tcPr>
          <w:p>
            <w:pPr>
              <w:jc w:val="center"/>
              <w:rPr>
                <w:rFonts w:ascii="宋体" w:hAnsi="宋体" w:eastAsia="宋体" w:cs="Times New Roman"/>
                <w:kern w:val="0"/>
                <w:sz w:val="22"/>
              </w:rPr>
            </w:pPr>
            <w:r>
              <w:rPr>
                <w:rFonts w:ascii="宋体" w:hAnsi="宋体" w:eastAsia="宋体" w:cs="Times New Roman"/>
                <w:kern w:val="0"/>
                <w:sz w:val="22"/>
              </w:rPr>
              <w:t>+1</w:t>
            </w:r>
          </w:p>
        </w:tc>
        <w:tc>
          <w:tcPr>
            <w:tcW w:w="2666" w:type="dxa"/>
            <w:vAlign w:val="center"/>
          </w:tcPr>
          <w:p>
            <w:pPr>
              <w:jc w:val="center"/>
              <w:rPr>
                <w:rFonts w:ascii="宋体" w:hAnsi="宋体" w:eastAsia="宋体" w:cs="Times New Roman"/>
                <w:kern w:val="0"/>
                <w:sz w:val="22"/>
              </w:rPr>
            </w:pPr>
            <w:r>
              <w:rPr>
                <w:rFonts w:ascii="宋体" w:hAnsi="宋体" w:eastAsia="宋体" w:cs="Times New Roman"/>
                <w:kern w:val="0"/>
                <w:sz w:val="22"/>
              </w:rPr>
              <w:t>-1</w:t>
            </w:r>
          </w:p>
        </w:tc>
      </w:tr>
    </w:tbl>
    <w:p>
      <w:pPr>
        <w:jc w:val="center"/>
        <w:rPr>
          <w:rFonts w:ascii="Times New Roman" w:hAnsi="Times New Roman" w:eastAsia="宋体" w:cs="Times New Roman"/>
          <w:sz w:val="24"/>
          <w:szCs w:val="24"/>
        </w:rPr>
      </w:pPr>
    </w:p>
    <w:tbl>
      <w:tblPr>
        <w:tblStyle w:val="14"/>
        <w:tblW w:w="0" w:type="auto"/>
        <w:tblInd w:w="0" w:type="dxa"/>
        <w:tblLayout w:type="fixed"/>
        <w:tblCellMar>
          <w:top w:w="0" w:type="dxa"/>
          <w:left w:w="108" w:type="dxa"/>
          <w:bottom w:w="0" w:type="dxa"/>
          <w:right w:w="108" w:type="dxa"/>
        </w:tblCellMar>
      </w:tblPr>
      <w:tblGrid>
        <w:gridCol w:w="1636"/>
        <w:gridCol w:w="3354"/>
        <w:gridCol w:w="3306"/>
      </w:tblGrid>
      <w:tr>
        <w:tblPrEx>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b/>
                <w:bCs/>
                <w:kern w:val="0"/>
                <w:sz w:val="22"/>
              </w:rPr>
            </w:pPr>
            <w:r>
              <w:rPr>
                <w:rFonts w:ascii="宋体" w:hAnsi="宋体" w:eastAsia="宋体" w:cs="Times New Roman"/>
                <w:b/>
                <w:bCs/>
                <w:kern w:val="0"/>
                <w:position w:val="-12"/>
                <w:sz w:val="22"/>
              </w:rPr>
              <w:drawing>
                <wp:inline distT="0" distB="0" distL="114300" distR="114300">
                  <wp:extent cx="152400" cy="228600"/>
                  <wp:effectExtent l="0" t="0" r="0" b="0"/>
                  <wp:docPr id="19" name="图片 20"/>
                  <wp:cNvGraphicFramePr/>
                  <a:graphic xmlns:a="http://schemas.openxmlformats.org/drawingml/2006/main">
                    <a:graphicData uri="http://schemas.openxmlformats.org/drawingml/2006/picture">
                      <pic:pic xmlns:pic="http://schemas.openxmlformats.org/drawingml/2006/picture">
                        <pic:nvPicPr>
                          <pic:cNvPr id="19" name="图片 20"/>
                          <pic:cNvPicPr/>
                        </pic:nvPicPr>
                        <pic:blipFill>
                          <a:blip r:embed="rId22"/>
                          <a:stretch>
                            <a:fillRect/>
                          </a:stretch>
                        </pic:blipFill>
                        <pic:spPr>
                          <a:xfrm>
                            <a:off x="0" y="0"/>
                            <a:ext cx="152400" cy="228600"/>
                          </a:xfrm>
                          <a:prstGeom prst="rect">
                            <a:avLst/>
                          </a:prstGeom>
                          <a:noFill/>
                          <a:ln>
                            <a:noFill/>
                          </a:ln>
                        </pic:spPr>
                      </pic:pic>
                    </a:graphicData>
                  </a:graphic>
                </wp:inline>
              </w:drawing>
            </w:r>
          </w:p>
        </w:tc>
        <w:tc>
          <w:tcPr>
            <w:tcW w:w="3354" w:type="dxa"/>
            <w:tcBorders>
              <w:top w:val="single" w:color="000000" w:sz="4" w:space="0"/>
              <w:left w:val="nil"/>
              <w:bottom w:val="single" w:color="000000" w:sz="4" w:space="0"/>
              <w:right w:val="single" w:color="000000" w:sz="4" w:space="0"/>
            </w:tcBorders>
            <w:vAlign w:val="center"/>
          </w:tcPr>
          <w:p>
            <w:pPr>
              <w:widowControl/>
              <w:ind w:firstLine="442" w:firstLineChars="200"/>
              <w:jc w:val="center"/>
              <w:rPr>
                <w:rFonts w:ascii="宋体" w:hAnsi="宋体" w:eastAsia="宋体" w:cs="Times New Roman"/>
                <w:b/>
                <w:bCs/>
                <w:kern w:val="0"/>
                <w:sz w:val="22"/>
              </w:rPr>
            </w:pPr>
            <w:r>
              <w:rPr>
                <w:rFonts w:ascii="宋体" w:hAnsi="宋体" w:eastAsia="宋体" w:cs="Times New Roman"/>
                <w:b/>
                <w:bCs/>
                <w:kern w:val="0"/>
                <w:sz w:val="22"/>
              </w:rPr>
              <w:t>买</w:t>
            </w:r>
          </w:p>
        </w:tc>
        <w:tc>
          <w:tcPr>
            <w:tcW w:w="3306" w:type="dxa"/>
            <w:tcBorders>
              <w:top w:val="single" w:color="000000" w:sz="4" w:space="0"/>
              <w:left w:val="nil"/>
              <w:bottom w:val="single" w:color="000000" w:sz="4" w:space="0"/>
              <w:right w:val="single" w:color="000000" w:sz="4" w:space="0"/>
            </w:tcBorders>
            <w:vAlign w:val="center"/>
          </w:tcPr>
          <w:p>
            <w:pPr>
              <w:widowControl/>
              <w:ind w:firstLine="442" w:firstLineChars="200"/>
              <w:jc w:val="center"/>
              <w:rPr>
                <w:rFonts w:ascii="宋体" w:hAnsi="宋体" w:eastAsia="宋体" w:cs="Times New Roman"/>
                <w:b/>
                <w:bCs/>
                <w:kern w:val="0"/>
                <w:sz w:val="22"/>
              </w:rPr>
            </w:pPr>
            <w:r>
              <w:rPr>
                <w:rFonts w:ascii="宋体" w:hAnsi="宋体" w:eastAsia="宋体" w:cs="Times New Roman"/>
                <w:b/>
                <w:bCs/>
                <w:kern w:val="0"/>
                <w:sz w:val="22"/>
              </w:rPr>
              <w:t>卖</w:t>
            </w:r>
          </w:p>
        </w:tc>
      </w:tr>
      <w:tr>
        <w:tblPrEx>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kern w:val="0"/>
                <w:sz w:val="22"/>
              </w:rPr>
            </w:pPr>
            <w:r>
              <w:rPr>
                <w:rFonts w:ascii="宋体" w:hAnsi="宋体" w:eastAsia="宋体" w:cs="Times New Roman"/>
                <w:kern w:val="0"/>
                <w:sz w:val="22"/>
              </w:rPr>
              <w:t>看涨期权</w:t>
            </w:r>
          </w:p>
        </w:tc>
        <w:tc>
          <w:tcPr>
            <w:tcW w:w="335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kern w:val="0"/>
                <w:sz w:val="22"/>
              </w:rPr>
            </w:pPr>
            <w:r>
              <w:rPr>
                <w:rFonts w:ascii="宋体" w:hAnsi="宋体" w:eastAsia="宋体" w:cs="Times New Roman"/>
                <w:kern w:val="0"/>
                <w:position w:val="-36"/>
                <w:sz w:val="22"/>
              </w:rPr>
              <w:drawing>
                <wp:inline distT="0" distB="0" distL="114300" distR="114300">
                  <wp:extent cx="1905000" cy="533400"/>
                  <wp:effectExtent l="0" t="0" r="0" b="0"/>
                  <wp:docPr id="20" name="图片 21"/>
                  <wp:cNvGraphicFramePr/>
                  <a:graphic xmlns:a="http://schemas.openxmlformats.org/drawingml/2006/main">
                    <a:graphicData uri="http://schemas.openxmlformats.org/drawingml/2006/picture">
                      <pic:pic xmlns:pic="http://schemas.openxmlformats.org/drawingml/2006/picture">
                        <pic:nvPicPr>
                          <pic:cNvPr id="20" name="图片 21"/>
                          <pic:cNvPicPr/>
                        </pic:nvPicPr>
                        <pic:blipFill>
                          <a:blip r:embed="rId23"/>
                          <a:stretch>
                            <a:fillRect/>
                          </a:stretch>
                        </pic:blipFill>
                        <pic:spPr>
                          <a:xfrm>
                            <a:off x="0" y="0"/>
                            <a:ext cx="1905000" cy="533400"/>
                          </a:xfrm>
                          <a:prstGeom prst="rect">
                            <a:avLst/>
                          </a:prstGeom>
                          <a:noFill/>
                          <a:ln>
                            <a:noFill/>
                          </a:ln>
                        </pic:spPr>
                      </pic:pic>
                    </a:graphicData>
                  </a:graphic>
                </wp:inline>
              </w:drawing>
            </w:r>
          </w:p>
        </w:tc>
        <w:tc>
          <w:tcPr>
            <w:tcW w:w="330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kern w:val="0"/>
                <w:sz w:val="22"/>
              </w:rPr>
            </w:pPr>
            <w:r>
              <w:rPr>
                <w:rFonts w:ascii="宋体" w:hAnsi="宋体" w:eastAsia="宋体" w:cs="Times New Roman"/>
                <w:kern w:val="0"/>
                <w:position w:val="-36"/>
                <w:sz w:val="22"/>
              </w:rPr>
              <w:drawing>
                <wp:inline distT="0" distB="0" distL="114300" distR="114300">
                  <wp:extent cx="1905000" cy="533400"/>
                  <wp:effectExtent l="0" t="0" r="0" b="0"/>
                  <wp:docPr id="21" name="图片 22"/>
                  <wp:cNvGraphicFramePr/>
                  <a:graphic xmlns:a="http://schemas.openxmlformats.org/drawingml/2006/main">
                    <a:graphicData uri="http://schemas.openxmlformats.org/drawingml/2006/picture">
                      <pic:pic xmlns:pic="http://schemas.openxmlformats.org/drawingml/2006/picture">
                        <pic:nvPicPr>
                          <pic:cNvPr id="21" name="图片 22"/>
                          <pic:cNvPicPr/>
                        </pic:nvPicPr>
                        <pic:blipFill>
                          <a:blip r:embed="rId24"/>
                          <a:stretch>
                            <a:fillRect/>
                          </a:stretch>
                        </pic:blipFill>
                        <pic:spPr>
                          <a:xfrm>
                            <a:off x="0" y="0"/>
                            <a:ext cx="1905000" cy="53340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966" w:hRule="atLeast"/>
        </w:trPr>
        <w:tc>
          <w:tcPr>
            <w:tcW w:w="16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kern w:val="0"/>
                <w:sz w:val="22"/>
              </w:rPr>
            </w:pPr>
            <w:r>
              <w:rPr>
                <w:rFonts w:ascii="宋体" w:hAnsi="宋体" w:eastAsia="宋体" w:cs="Times New Roman"/>
                <w:kern w:val="0"/>
                <w:sz w:val="22"/>
              </w:rPr>
              <w:t>看跌期权</w:t>
            </w:r>
          </w:p>
        </w:tc>
        <w:tc>
          <w:tcPr>
            <w:tcW w:w="335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kern w:val="0"/>
                <w:sz w:val="22"/>
              </w:rPr>
            </w:pPr>
            <w:r>
              <w:rPr>
                <w:rFonts w:ascii="宋体" w:hAnsi="宋体" w:eastAsia="宋体" w:cs="Times New Roman"/>
                <w:kern w:val="0"/>
                <w:position w:val="-36"/>
                <w:sz w:val="22"/>
              </w:rPr>
              <w:drawing>
                <wp:inline distT="0" distB="0" distL="114300" distR="114300">
                  <wp:extent cx="2019300" cy="533400"/>
                  <wp:effectExtent l="0" t="0" r="0" b="0"/>
                  <wp:docPr id="22" name="图片 23"/>
                  <wp:cNvGraphicFramePr/>
                  <a:graphic xmlns:a="http://schemas.openxmlformats.org/drawingml/2006/main">
                    <a:graphicData uri="http://schemas.openxmlformats.org/drawingml/2006/picture">
                      <pic:pic xmlns:pic="http://schemas.openxmlformats.org/drawingml/2006/picture">
                        <pic:nvPicPr>
                          <pic:cNvPr id="22" name="图片 23"/>
                          <pic:cNvPicPr/>
                        </pic:nvPicPr>
                        <pic:blipFill>
                          <a:blip r:embed="rId25"/>
                          <a:stretch>
                            <a:fillRect/>
                          </a:stretch>
                        </pic:blipFill>
                        <pic:spPr>
                          <a:xfrm>
                            <a:off x="0" y="0"/>
                            <a:ext cx="2019300" cy="533400"/>
                          </a:xfrm>
                          <a:prstGeom prst="rect">
                            <a:avLst/>
                          </a:prstGeom>
                          <a:noFill/>
                          <a:ln>
                            <a:noFill/>
                          </a:ln>
                        </pic:spPr>
                      </pic:pic>
                    </a:graphicData>
                  </a:graphic>
                </wp:inline>
              </w:drawing>
            </w:r>
          </w:p>
        </w:tc>
        <w:tc>
          <w:tcPr>
            <w:tcW w:w="330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kern w:val="0"/>
                <w:sz w:val="22"/>
              </w:rPr>
            </w:pPr>
            <w:r>
              <w:rPr>
                <w:rFonts w:ascii="宋体" w:hAnsi="宋体" w:eastAsia="宋体" w:cs="Times New Roman"/>
                <w:kern w:val="0"/>
                <w:position w:val="-36"/>
                <w:sz w:val="22"/>
              </w:rPr>
              <w:drawing>
                <wp:inline distT="0" distB="0" distL="114300" distR="114300">
                  <wp:extent cx="2019300" cy="533400"/>
                  <wp:effectExtent l="0" t="0" r="0" b="0"/>
                  <wp:docPr id="23" name="图片 24"/>
                  <wp:cNvGraphicFramePr/>
                  <a:graphic xmlns:a="http://schemas.openxmlformats.org/drawingml/2006/main">
                    <a:graphicData uri="http://schemas.openxmlformats.org/drawingml/2006/picture">
                      <pic:pic xmlns:pic="http://schemas.openxmlformats.org/drawingml/2006/picture">
                        <pic:nvPicPr>
                          <pic:cNvPr id="23" name="图片 24"/>
                          <pic:cNvPicPr/>
                        </pic:nvPicPr>
                        <pic:blipFill>
                          <a:blip r:embed="rId26"/>
                          <a:stretch>
                            <a:fillRect/>
                          </a:stretch>
                        </pic:blipFill>
                        <pic:spPr>
                          <a:xfrm>
                            <a:off x="0" y="0"/>
                            <a:ext cx="2019300" cy="533400"/>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widowControl/>
              <w:ind w:firstLine="440" w:firstLineChars="200"/>
              <w:rPr>
                <w:rFonts w:ascii="宋体" w:hAnsi="宋体" w:eastAsia="宋体" w:cs="Times New Roman"/>
                <w:kern w:val="0"/>
                <w:sz w:val="22"/>
              </w:rPr>
            </w:pPr>
            <w:r>
              <w:rPr>
                <w:rFonts w:ascii="宋体" w:hAnsi="宋体" w:eastAsia="宋体" w:cs="Times New Roman"/>
                <w:kern w:val="0"/>
                <w:sz w:val="22"/>
              </w:rPr>
              <w:t>公式参数的定义如下：</w:t>
            </w:r>
          </w:p>
          <w:p>
            <w:pPr>
              <w:widowControl/>
              <w:ind w:firstLine="440" w:firstLineChars="200"/>
              <w:rPr>
                <w:rFonts w:ascii="宋体" w:hAnsi="宋体" w:eastAsia="宋体" w:cs="Times New Roman"/>
                <w:kern w:val="0"/>
                <w:sz w:val="22"/>
              </w:rPr>
            </w:pPr>
            <w:r>
              <w:rPr>
                <w:rFonts w:ascii="宋体" w:hAnsi="宋体" w:eastAsia="宋体" w:cs="Times New Roman"/>
                <w:kern w:val="0"/>
                <w:position w:val="-12"/>
                <w:sz w:val="22"/>
              </w:rPr>
              <w:drawing>
                <wp:inline distT="0" distB="0" distL="114300" distR="114300">
                  <wp:extent cx="152400" cy="228600"/>
                  <wp:effectExtent l="0" t="0" r="0" b="0"/>
                  <wp:docPr id="24" name="图片 25"/>
                  <wp:cNvGraphicFramePr/>
                  <a:graphic xmlns:a="http://schemas.openxmlformats.org/drawingml/2006/main">
                    <a:graphicData uri="http://schemas.openxmlformats.org/drawingml/2006/picture">
                      <pic:pic xmlns:pic="http://schemas.openxmlformats.org/drawingml/2006/picture">
                        <pic:nvPicPr>
                          <pic:cNvPr id="24" name="图片 25"/>
                          <pic:cNvPicPr/>
                        </pic:nvPicPr>
                        <pic:blipFill>
                          <a:blip r:embed="rId27"/>
                          <a:stretch>
                            <a:fillRect/>
                          </a:stretch>
                        </pic:blipFill>
                        <pic:spPr>
                          <a:xfrm>
                            <a:off x="0" y="0"/>
                            <a:ext cx="152400" cy="228600"/>
                          </a:xfrm>
                          <a:prstGeom prst="rect">
                            <a:avLst/>
                          </a:prstGeom>
                          <a:noFill/>
                          <a:ln>
                            <a:noFill/>
                          </a:ln>
                        </pic:spPr>
                      </pic:pic>
                    </a:graphicData>
                  </a:graphic>
                </wp:inline>
              </w:drawing>
            </w:r>
            <w:r>
              <w:rPr>
                <w:rFonts w:ascii="宋体" w:hAnsi="宋体" w:eastAsia="宋体" w:cs="Times New Roman"/>
                <w:kern w:val="0"/>
                <w:sz w:val="22"/>
              </w:rPr>
              <w:t>：标的价格（即期，远期，均值等）</w:t>
            </w:r>
          </w:p>
          <w:p>
            <w:pPr>
              <w:widowControl/>
              <w:ind w:firstLine="440" w:firstLineChars="200"/>
              <w:rPr>
                <w:rFonts w:ascii="宋体" w:hAnsi="宋体" w:eastAsia="宋体" w:cs="Times New Roman"/>
                <w:kern w:val="0"/>
                <w:sz w:val="22"/>
              </w:rPr>
            </w:pPr>
            <w:r>
              <w:rPr>
                <w:rFonts w:ascii="宋体" w:hAnsi="宋体" w:eastAsia="宋体" w:cs="Times New Roman"/>
                <w:kern w:val="0"/>
                <w:position w:val="-12"/>
                <w:sz w:val="22"/>
              </w:rPr>
              <w:drawing>
                <wp:inline distT="0" distB="0" distL="114300" distR="114300">
                  <wp:extent cx="190500" cy="228600"/>
                  <wp:effectExtent l="0" t="0" r="0" b="0"/>
                  <wp:docPr id="25" name="图片 26"/>
                  <wp:cNvGraphicFramePr/>
                  <a:graphic xmlns:a="http://schemas.openxmlformats.org/drawingml/2006/main">
                    <a:graphicData uri="http://schemas.openxmlformats.org/drawingml/2006/picture">
                      <pic:pic xmlns:pic="http://schemas.openxmlformats.org/drawingml/2006/picture">
                        <pic:nvPicPr>
                          <pic:cNvPr id="25" name="图片 26"/>
                          <pic:cNvPicPr/>
                        </pic:nvPicPr>
                        <pic:blipFill>
                          <a:blip r:embed="rId28"/>
                          <a:stretch>
                            <a:fillRect/>
                          </a:stretch>
                        </pic:blipFill>
                        <pic:spPr>
                          <a:xfrm>
                            <a:off x="0" y="0"/>
                            <a:ext cx="190500" cy="228600"/>
                          </a:xfrm>
                          <a:prstGeom prst="rect">
                            <a:avLst/>
                          </a:prstGeom>
                          <a:noFill/>
                          <a:ln>
                            <a:noFill/>
                          </a:ln>
                        </pic:spPr>
                      </pic:pic>
                    </a:graphicData>
                  </a:graphic>
                </wp:inline>
              </w:drawing>
            </w:r>
            <w:r>
              <w:rPr>
                <w:rFonts w:ascii="宋体" w:hAnsi="宋体" w:eastAsia="宋体" w:cs="Times New Roman"/>
                <w:kern w:val="0"/>
                <w:sz w:val="22"/>
              </w:rPr>
              <w:t>：执行价格</w:t>
            </w:r>
          </w:p>
          <w:p>
            <w:pPr>
              <w:widowControl/>
              <w:ind w:firstLine="440" w:firstLineChars="200"/>
              <w:rPr>
                <w:rFonts w:ascii="宋体" w:hAnsi="宋体" w:eastAsia="宋体" w:cs="Times New Roman"/>
                <w:kern w:val="0"/>
                <w:sz w:val="22"/>
              </w:rPr>
            </w:pPr>
            <w:r>
              <w:rPr>
                <w:rFonts w:ascii="宋体" w:hAnsi="宋体" w:eastAsia="宋体" w:cs="Times New Roman"/>
                <w:kern w:val="0"/>
                <w:position w:val="-12"/>
                <w:sz w:val="22"/>
              </w:rPr>
              <w:drawing>
                <wp:inline distT="0" distB="0" distL="114300" distR="114300">
                  <wp:extent cx="144780" cy="228600"/>
                  <wp:effectExtent l="0" t="0" r="0" b="0"/>
                  <wp:docPr id="26" name="图片 27"/>
                  <wp:cNvGraphicFramePr/>
                  <a:graphic xmlns:a="http://schemas.openxmlformats.org/drawingml/2006/main">
                    <a:graphicData uri="http://schemas.openxmlformats.org/drawingml/2006/picture">
                      <pic:pic xmlns:pic="http://schemas.openxmlformats.org/drawingml/2006/picture">
                        <pic:nvPicPr>
                          <pic:cNvPr id="26" name="图片 27"/>
                          <pic:cNvPicPr/>
                        </pic:nvPicPr>
                        <pic:blipFill>
                          <a:blip r:embed="rId29"/>
                          <a:stretch>
                            <a:fillRect/>
                          </a:stretch>
                        </pic:blipFill>
                        <pic:spPr>
                          <a:xfrm>
                            <a:off x="0" y="0"/>
                            <a:ext cx="144780" cy="228600"/>
                          </a:xfrm>
                          <a:prstGeom prst="rect">
                            <a:avLst/>
                          </a:prstGeom>
                          <a:noFill/>
                          <a:ln>
                            <a:noFill/>
                          </a:ln>
                        </pic:spPr>
                      </pic:pic>
                    </a:graphicData>
                  </a:graphic>
                </wp:inline>
              </w:drawing>
            </w:r>
            <w:r>
              <w:rPr>
                <w:rFonts w:ascii="宋体" w:hAnsi="宋体" w:eastAsia="宋体" w:cs="Times New Roman"/>
                <w:kern w:val="0"/>
                <w:sz w:val="22"/>
              </w:rPr>
              <w:t>：期权约定的最终执行日期</w:t>
            </w:r>
          </w:p>
          <w:p>
            <w:pPr>
              <w:widowControl/>
              <w:ind w:firstLine="440" w:firstLineChars="200"/>
              <w:rPr>
                <w:rFonts w:ascii="宋体" w:hAnsi="宋体" w:eastAsia="宋体" w:cs="Times New Roman"/>
                <w:kern w:val="0"/>
                <w:sz w:val="22"/>
              </w:rPr>
            </w:pPr>
            <w:r>
              <w:rPr>
                <w:rFonts w:ascii="宋体" w:hAnsi="宋体" w:eastAsia="宋体" w:cs="Times New Roman"/>
                <w:kern w:val="0"/>
                <w:position w:val="-12"/>
                <w:sz w:val="22"/>
              </w:rPr>
              <w:drawing>
                <wp:inline distT="0" distB="0" distL="114300" distR="114300">
                  <wp:extent cx="182880" cy="228600"/>
                  <wp:effectExtent l="0" t="0" r="0" b="0"/>
                  <wp:docPr id="27" name="图片 28"/>
                  <wp:cNvGraphicFramePr/>
                  <a:graphic xmlns:a="http://schemas.openxmlformats.org/drawingml/2006/main">
                    <a:graphicData uri="http://schemas.openxmlformats.org/drawingml/2006/picture">
                      <pic:pic xmlns:pic="http://schemas.openxmlformats.org/drawingml/2006/picture">
                        <pic:nvPicPr>
                          <pic:cNvPr id="27" name="图片 28"/>
                          <pic:cNvPicPr/>
                        </pic:nvPicPr>
                        <pic:blipFill>
                          <a:blip r:embed="rId30"/>
                          <a:stretch>
                            <a:fillRect/>
                          </a:stretch>
                        </pic:blipFill>
                        <pic:spPr>
                          <a:xfrm>
                            <a:off x="0" y="0"/>
                            <a:ext cx="182880" cy="228600"/>
                          </a:xfrm>
                          <a:prstGeom prst="rect">
                            <a:avLst/>
                          </a:prstGeom>
                          <a:noFill/>
                          <a:ln>
                            <a:noFill/>
                          </a:ln>
                        </pic:spPr>
                      </pic:pic>
                    </a:graphicData>
                  </a:graphic>
                </wp:inline>
              </w:drawing>
            </w:r>
            <w:r>
              <w:rPr>
                <w:rFonts w:ascii="宋体" w:hAnsi="宋体" w:eastAsia="宋体" w:cs="Times New Roman"/>
                <w:kern w:val="0"/>
                <w:sz w:val="22"/>
              </w:rPr>
              <w:t>：监管波动率，在</w:t>
            </w:r>
            <w:r>
              <w:rPr>
                <w:rFonts w:hint="eastAsia" w:ascii="宋体" w:hAnsi="宋体" w:eastAsia="宋体" w:cs="Times New Roman"/>
                <w:kern w:val="0"/>
                <w:sz w:val="22"/>
              </w:rPr>
              <w:t>表2</w:t>
            </w:r>
            <w:r>
              <w:rPr>
                <w:rFonts w:ascii="宋体" w:hAnsi="宋体" w:eastAsia="宋体" w:cs="Times New Roman"/>
                <w:kern w:val="0"/>
                <w:sz w:val="22"/>
              </w:rPr>
              <w:t>中查找</w:t>
            </w:r>
          </w:p>
          <w:p>
            <w:pPr>
              <w:widowControl/>
              <w:ind w:firstLine="440" w:firstLineChars="200"/>
              <w:rPr>
                <w:rFonts w:ascii="宋体" w:hAnsi="宋体" w:eastAsia="宋体" w:cs="Times New Roman"/>
                <w:kern w:val="0"/>
                <w:sz w:val="22"/>
              </w:rPr>
            </w:pPr>
            <w:r>
              <w:rPr>
                <w:rFonts w:ascii="宋体" w:hAnsi="宋体" w:eastAsia="宋体" w:cs="Times New Roman"/>
                <w:kern w:val="0"/>
                <w:position w:val="-4"/>
                <w:sz w:val="22"/>
              </w:rPr>
              <w:drawing>
                <wp:inline distT="0" distB="0" distL="114300" distR="114300">
                  <wp:extent cx="160020" cy="152400"/>
                  <wp:effectExtent l="0" t="0" r="0" b="9525"/>
                  <wp:docPr id="28" name="图片 29"/>
                  <wp:cNvGraphicFramePr/>
                  <a:graphic xmlns:a="http://schemas.openxmlformats.org/drawingml/2006/main">
                    <a:graphicData uri="http://schemas.openxmlformats.org/drawingml/2006/picture">
                      <pic:pic xmlns:pic="http://schemas.openxmlformats.org/drawingml/2006/picture">
                        <pic:nvPicPr>
                          <pic:cNvPr id="28" name="图片 29"/>
                          <pic:cNvPicPr/>
                        </pic:nvPicPr>
                        <pic:blipFill>
                          <a:blip r:embed="rId31"/>
                          <a:stretch>
                            <a:fillRect/>
                          </a:stretch>
                        </pic:blipFill>
                        <pic:spPr>
                          <a:xfrm>
                            <a:off x="0" y="0"/>
                            <a:ext cx="160020" cy="152400"/>
                          </a:xfrm>
                          <a:prstGeom prst="rect">
                            <a:avLst/>
                          </a:prstGeom>
                          <a:noFill/>
                          <a:ln>
                            <a:noFill/>
                          </a:ln>
                        </pic:spPr>
                      </pic:pic>
                    </a:graphicData>
                  </a:graphic>
                </wp:inline>
              </w:drawing>
            </w:r>
            <w:r>
              <w:rPr>
                <w:rFonts w:hint="eastAsia" w:ascii="宋体" w:hAnsi="宋体" w:eastAsia="宋体" w:cs="Times New Roman"/>
                <w:kern w:val="0"/>
                <w:position w:val="-4"/>
                <w:sz w:val="22"/>
              </w:rPr>
              <w:t>：</w:t>
            </w:r>
            <w:r>
              <w:rPr>
                <w:rFonts w:ascii="宋体" w:hAnsi="宋体" w:eastAsia="宋体" w:cs="Times New Roman"/>
                <w:kern w:val="0"/>
                <w:sz w:val="22"/>
              </w:rPr>
              <w:t>标准正态累计分布函数</w:t>
            </w:r>
          </w:p>
        </w:tc>
      </w:tr>
    </w:tbl>
    <w:p>
      <w:pPr>
        <w:widowControl/>
        <w:ind w:firstLine="440" w:firstLineChars="200"/>
        <w:rPr>
          <w:rFonts w:ascii="宋体" w:hAnsi="宋体" w:eastAsia="宋体" w:cs="Times New Roman"/>
          <w:kern w:val="0"/>
          <w:sz w:val="22"/>
        </w:rPr>
      </w:pPr>
      <w:r>
        <w:rPr>
          <w:rFonts w:ascii="宋体" w:hAnsi="宋体" w:eastAsia="宋体" w:cs="Times New Roman"/>
          <w:kern w:val="0"/>
          <w:sz w:val="22"/>
        </w:rPr>
        <w:t xml:space="preserve"> </w:t>
      </w:r>
    </w:p>
    <w:tbl>
      <w:tblPr>
        <w:tblStyle w:val="14"/>
        <w:tblW w:w="0" w:type="auto"/>
        <w:tblInd w:w="0" w:type="dxa"/>
        <w:tblLayout w:type="fixed"/>
        <w:tblCellMar>
          <w:top w:w="0" w:type="dxa"/>
          <w:left w:w="108" w:type="dxa"/>
          <w:bottom w:w="0" w:type="dxa"/>
          <w:right w:w="108" w:type="dxa"/>
        </w:tblCellMar>
      </w:tblPr>
      <w:tblGrid>
        <w:gridCol w:w="2164"/>
        <w:gridCol w:w="3066"/>
        <w:gridCol w:w="3066"/>
      </w:tblGrid>
      <w:tr>
        <w:tblPrEx>
          <w:tblCellMar>
            <w:top w:w="0" w:type="dxa"/>
            <w:left w:w="108" w:type="dxa"/>
            <w:bottom w:w="0" w:type="dxa"/>
            <w:right w:w="108" w:type="dxa"/>
          </w:tblCellMar>
        </w:tblPrEx>
        <w:tc>
          <w:tcPr>
            <w:tcW w:w="2164" w:type="dxa"/>
            <w:tcBorders>
              <w:top w:val="single" w:color="000000" w:sz="4" w:space="0"/>
              <w:left w:val="single" w:color="000000" w:sz="4" w:space="0"/>
              <w:bottom w:val="single" w:color="000000" w:sz="4" w:space="0"/>
              <w:right w:val="single" w:color="000000" w:sz="4" w:space="0"/>
            </w:tcBorders>
          </w:tcPr>
          <w:p>
            <w:pPr>
              <w:widowControl/>
              <w:ind w:firstLine="442" w:firstLineChars="200"/>
              <w:rPr>
                <w:rFonts w:ascii="宋体" w:hAnsi="宋体" w:eastAsia="宋体" w:cs="Times New Roman"/>
                <w:b/>
                <w:bCs/>
                <w:kern w:val="0"/>
                <w:sz w:val="22"/>
              </w:rPr>
            </w:pPr>
            <w:r>
              <w:rPr>
                <w:rFonts w:ascii="宋体" w:hAnsi="宋体" w:eastAsia="宋体" w:cs="Times New Roman"/>
                <w:b/>
                <w:bCs/>
                <w:kern w:val="0"/>
                <w:sz w:val="22"/>
              </w:rPr>
              <w:drawing>
                <wp:inline distT="0" distB="0" distL="114300" distR="114300">
                  <wp:extent cx="152400" cy="228600"/>
                  <wp:effectExtent l="0" t="0" r="0" b="0"/>
                  <wp:docPr id="29" name="图片 30"/>
                  <wp:cNvGraphicFramePr/>
                  <a:graphic xmlns:a="http://schemas.openxmlformats.org/drawingml/2006/main">
                    <a:graphicData uri="http://schemas.openxmlformats.org/drawingml/2006/picture">
                      <pic:pic xmlns:pic="http://schemas.openxmlformats.org/drawingml/2006/picture">
                        <pic:nvPicPr>
                          <pic:cNvPr id="29" name="图片 30"/>
                          <pic:cNvPicPr/>
                        </pic:nvPicPr>
                        <pic:blipFill>
                          <a:blip r:embed="rId22"/>
                          <a:stretch>
                            <a:fillRect/>
                          </a:stretch>
                        </pic:blipFill>
                        <pic:spPr>
                          <a:xfrm>
                            <a:off x="0" y="0"/>
                            <a:ext cx="152400" cy="228600"/>
                          </a:xfrm>
                          <a:prstGeom prst="rect">
                            <a:avLst/>
                          </a:prstGeom>
                          <a:noFill/>
                          <a:ln>
                            <a:noFill/>
                          </a:ln>
                        </pic:spPr>
                      </pic:pic>
                    </a:graphicData>
                  </a:graphic>
                </wp:inline>
              </w:drawing>
            </w:r>
          </w:p>
        </w:tc>
        <w:tc>
          <w:tcPr>
            <w:tcW w:w="3066" w:type="dxa"/>
            <w:tcBorders>
              <w:top w:val="single" w:color="000000" w:sz="4" w:space="0"/>
              <w:left w:val="nil"/>
              <w:bottom w:val="single" w:color="000000" w:sz="4" w:space="0"/>
              <w:right w:val="single" w:color="000000" w:sz="4" w:space="0"/>
            </w:tcBorders>
          </w:tcPr>
          <w:p>
            <w:pPr>
              <w:widowControl/>
              <w:ind w:firstLine="442" w:firstLineChars="200"/>
              <w:rPr>
                <w:rFonts w:ascii="宋体" w:hAnsi="宋体" w:eastAsia="宋体" w:cs="Times New Roman"/>
                <w:b/>
                <w:bCs/>
                <w:kern w:val="0"/>
                <w:sz w:val="22"/>
              </w:rPr>
            </w:pPr>
            <w:r>
              <w:rPr>
                <w:rFonts w:ascii="宋体" w:hAnsi="宋体" w:eastAsia="宋体" w:cs="Times New Roman"/>
                <w:b/>
                <w:bCs/>
                <w:kern w:val="0"/>
                <w:sz w:val="22"/>
              </w:rPr>
              <w:t>买（购买保护）</w:t>
            </w:r>
          </w:p>
        </w:tc>
        <w:tc>
          <w:tcPr>
            <w:tcW w:w="3066" w:type="dxa"/>
            <w:tcBorders>
              <w:top w:val="single" w:color="000000" w:sz="4" w:space="0"/>
              <w:left w:val="nil"/>
              <w:bottom w:val="single" w:color="000000" w:sz="4" w:space="0"/>
              <w:right w:val="single" w:color="000000" w:sz="4" w:space="0"/>
            </w:tcBorders>
          </w:tcPr>
          <w:p>
            <w:pPr>
              <w:widowControl/>
              <w:ind w:firstLine="442" w:firstLineChars="200"/>
              <w:rPr>
                <w:rFonts w:ascii="宋体" w:hAnsi="宋体" w:eastAsia="宋体" w:cs="Times New Roman"/>
                <w:b/>
                <w:bCs/>
                <w:kern w:val="0"/>
                <w:sz w:val="22"/>
              </w:rPr>
            </w:pPr>
            <w:r>
              <w:rPr>
                <w:rFonts w:ascii="宋体" w:hAnsi="宋体" w:eastAsia="宋体" w:cs="Times New Roman"/>
                <w:b/>
                <w:bCs/>
                <w:kern w:val="0"/>
                <w:sz w:val="22"/>
              </w:rPr>
              <w:t>卖（卖出保护）</w:t>
            </w:r>
          </w:p>
        </w:tc>
      </w:tr>
      <w:tr>
        <w:tblPrEx>
          <w:tblCellMar>
            <w:top w:w="0" w:type="dxa"/>
            <w:left w:w="108" w:type="dxa"/>
            <w:bottom w:w="0" w:type="dxa"/>
            <w:right w:w="108" w:type="dxa"/>
          </w:tblCellMar>
        </w:tblPrEx>
        <w:tc>
          <w:tcPr>
            <w:tcW w:w="2164"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rPr>
                <w:rFonts w:ascii="宋体" w:hAnsi="宋体" w:eastAsia="宋体" w:cs="Times New Roman"/>
                <w:kern w:val="0"/>
                <w:sz w:val="22"/>
              </w:rPr>
            </w:pPr>
            <w:r>
              <w:rPr>
                <w:rFonts w:ascii="宋体" w:hAnsi="宋体" w:eastAsia="宋体" w:cs="Times New Roman"/>
                <w:kern w:val="0"/>
                <w:sz w:val="22"/>
              </w:rPr>
              <w:t>CDO</w:t>
            </w:r>
          </w:p>
        </w:tc>
        <w:tc>
          <w:tcPr>
            <w:tcW w:w="3066" w:type="dxa"/>
            <w:tcBorders>
              <w:top w:val="single" w:color="000000" w:sz="4" w:space="0"/>
              <w:left w:val="nil"/>
              <w:bottom w:val="single" w:color="000000" w:sz="4" w:space="0"/>
              <w:right w:val="single" w:color="000000" w:sz="4" w:space="0"/>
            </w:tcBorders>
          </w:tcPr>
          <w:p>
            <w:pPr>
              <w:widowControl/>
              <w:rPr>
                <w:rFonts w:ascii="宋体" w:hAnsi="宋体" w:eastAsia="宋体" w:cs="Times New Roman"/>
                <w:kern w:val="0"/>
                <w:sz w:val="22"/>
              </w:rPr>
            </w:pPr>
            <w:r>
              <w:rPr>
                <w:rFonts w:ascii="宋体" w:hAnsi="宋体" w:eastAsia="宋体" w:cs="Times New Roman"/>
                <w:kern w:val="0"/>
                <w:sz w:val="22"/>
              </w:rPr>
              <w:drawing>
                <wp:inline distT="0" distB="0" distL="114300" distR="114300">
                  <wp:extent cx="1638300" cy="426720"/>
                  <wp:effectExtent l="0" t="0" r="0" b="0"/>
                  <wp:docPr id="30" name="图片 31"/>
                  <wp:cNvGraphicFramePr/>
                  <a:graphic xmlns:a="http://schemas.openxmlformats.org/drawingml/2006/main">
                    <a:graphicData uri="http://schemas.openxmlformats.org/drawingml/2006/picture">
                      <pic:pic xmlns:pic="http://schemas.openxmlformats.org/drawingml/2006/picture">
                        <pic:nvPicPr>
                          <pic:cNvPr id="30" name="图片 31"/>
                          <pic:cNvPicPr/>
                        </pic:nvPicPr>
                        <pic:blipFill>
                          <a:blip r:embed="rId32"/>
                          <a:stretch>
                            <a:fillRect/>
                          </a:stretch>
                        </pic:blipFill>
                        <pic:spPr>
                          <a:xfrm>
                            <a:off x="0" y="0"/>
                            <a:ext cx="1638300" cy="426720"/>
                          </a:xfrm>
                          <a:prstGeom prst="rect">
                            <a:avLst/>
                          </a:prstGeom>
                          <a:noFill/>
                          <a:ln>
                            <a:noFill/>
                          </a:ln>
                        </pic:spPr>
                      </pic:pic>
                    </a:graphicData>
                  </a:graphic>
                </wp:inline>
              </w:drawing>
            </w:r>
          </w:p>
        </w:tc>
        <w:tc>
          <w:tcPr>
            <w:tcW w:w="3066" w:type="dxa"/>
            <w:tcBorders>
              <w:top w:val="single" w:color="000000" w:sz="4" w:space="0"/>
              <w:left w:val="nil"/>
              <w:bottom w:val="single" w:color="000000" w:sz="4" w:space="0"/>
              <w:right w:val="single" w:color="000000" w:sz="4" w:space="0"/>
            </w:tcBorders>
          </w:tcPr>
          <w:p>
            <w:pPr>
              <w:widowControl/>
              <w:rPr>
                <w:rFonts w:ascii="宋体" w:hAnsi="宋体" w:eastAsia="宋体" w:cs="Times New Roman"/>
                <w:kern w:val="0"/>
                <w:sz w:val="22"/>
              </w:rPr>
            </w:pPr>
            <w:r>
              <w:rPr>
                <w:rFonts w:ascii="宋体" w:hAnsi="宋体" w:eastAsia="宋体" w:cs="Times New Roman"/>
                <w:kern w:val="0"/>
                <w:sz w:val="22"/>
              </w:rPr>
              <w:drawing>
                <wp:inline distT="0" distB="0" distL="114300" distR="114300">
                  <wp:extent cx="1630680" cy="426720"/>
                  <wp:effectExtent l="0" t="0" r="0" b="0"/>
                  <wp:docPr id="31" name="图片 32"/>
                  <wp:cNvGraphicFramePr/>
                  <a:graphic xmlns:a="http://schemas.openxmlformats.org/drawingml/2006/main">
                    <a:graphicData uri="http://schemas.openxmlformats.org/drawingml/2006/picture">
                      <pic:pic xmlns:pic="http://schemas.openxmlformats.org/drawingml/2006/picture">
                        <pic:nvPicPr>
                          <pic:cNvPr id="31" name="图片 32"/>
                          <pic:cNvPicPr/>
                        </pic:nvPicPr>
                        <pic:blipFill>
                          <a:blip r:embed="rId33"/>
                          <a:stretch>
                            <a:fillRect/>
                          </a:stretch>
                        </pic:blipFill>
                        <pic:spPr>
                          <a:xfrm>
                            <a:off x="0" y="0"/>
                            <a:ext cx="1630680" cy="426720"/>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widowControl/>
              <w:ind w:firstLine="440" w:firstLineChars="200"/>
              <w:rPr>
                <w:rFonts w:ascii="宋体" w:hAnsi="宋体" w:eastAsia="宋体" w:cs="Times New Roman"/>
                <w:kern w:val="0"/>
                <w:sz w:val="22"/>
              </w:rPr>
            </w:pPr>
            <w:r>
              <w:rPr>
                <w:rFonts w:ascii="宋体" w:hAnsi="宋体" w:eastAsia="宋体" w:cs="Times New Roman"/>
                <w:kern w:val="0"/>
                <w:sz w:val="22"/>
              </w:rPr>
              <w:t>公式参数的定义如下：</w:t>
            </w:r>
          </w:p>
          <w:p>
            <w:pPr>
              <w:widowControl/>
              <w:ind w:firstLine="440" w:firstLineChars="200"/>
              <w:rPr>
                <w:rFonts w:ascii="宋体" w:hAnsi="宋体" w:eastAsia="宋体" w:cs="Times New Roman"/>
                <w:kern w:val="0"/>
                <w:sz w:val="22"/>
              </w:rPr>
            </w:pPr>
            <w:r>
              <w:rPr>
                <w:rFonts w:ascii="宋体" w:hAnsi="宋体" w:eastAsia="宋体" w:cs="Times New Roman"/>
                <w:kern w:val="0"/>
                <w:sz w:val="22"/>
              </w:rPr>
              <w:drawing>
                <wp:inline distT="0" distB="0" distL="114300" distR="114300">
                  <wp:extent cx="160020" cy="228600"/>
                  <wp:effectExtent l="0" t="0" r="0" b="0"/>
                  <wp:docPr id="32" name="图片 33"/>
                  <wp:cNvGraphicFramePr/>
                  <a:graphic xmlns:a="http://schemas.openxmlformats.org/drawingml/2006/main">
                    <a:graphicData uri="http://schemas.openxmlformats.org/drawingml/2006/picture">
                      <pic:pic xmlns:pic="http://schemas.openxmlformats.org/drawingml/2006/picture">
                        <pic:nvPicPr>
                          <pic:cNvPr id="32" name="图片 33"/>
                          <pic:cNvPicPr/>
                        </pic:nvPicPr>
                        <pic:blipFill>
                          <a:blip r:embed="rId34"/>
                          <a:stretch>
                            <a:fillRect/>
                          </a:stretch>
                        </pic:blipFill>
                        <pic:spPr>
                          <a:xfrm>
                            <a:off x="0" y="0"/>
                            <a:ext cx="160020" cy="228600"/>
                          </a:xfrm>
                          <a:prstGeom prst="rect">
                            <a:avLst/>
                          </a:prstGeom>
                          <a:noFill/>
                          <a:ln>
                            <a:noFill/>
                          </a:ln>
                        </pic:spPr>
                      </pic:pic>
                    </a:graphicData>
                  </a:graphic>
                </wp:inline>
              </w:drawing>
            </w:r>
            <w:r>
              <w:rPr>
                <w:rFonts w:ascii="宋体" w:hAnsi="宋体" w:eastAsia="宋体" w:cs="Times New Roman"/>
                <w:kern w:val="0"/>
                <w:sz w:val="22"/>
              </w:rPr>
              <w:t>：CDO层级附加点</w:t>
            </w:r>
          </w:p>
          <w:p>
            <w:pPr>
              <w:widowControl/>
              <w:ind w:firstLine="440" w:firstLineChars="200"/>
              <w:rPr>
                <w:rFonts w:ascii="宋体" w:hAnsi="宋体" w:eastAsia="宋体" w:cs="Times New Roman"/>
                <w:kern w:val="0"/>
                <w:sz w:val="22"/>
              </w:rPr>
            </w:pPr>
            <w:r>
              <w:rPr>
                <w:rFonts w:ascii="宋体" w:hAnsi="宋体" w:eastAsia="宋体" w:cs="Times New Roman"/>
                <w:kern w:val="0"/>
                <w:sz w:val="22"/>
              </w:rPr>
              <w:drawing>
                <wp:inline distT="0" distB="0" distL="114300" distR="114300">
                  <wp:extent cx="190500" cy="228600"/>
                  <wp:effectExtent l="0" t="0" r="0" b="0"/>
                  <wp:docPr id="33" name="图片 34"/>
                  <wp:cNvGraphicFramePr/>
                  <a:graphic xmlns:a="http://schemas.openxmlformats.org/drawingml/2006/main">
                    <a:graphicData uri="http://schemas.openxmlformats.org/drawingml/2006/picture">
                      <pic:pic xmlns:pic="http://schemas.openxmlformats.org/drawingml/2006/picture">
                        <pic:nvPicPr>
                          <pic:cNvPr id="33" name="图片 34"/>
                          <pic:cNvPicPr/>
                        </pic:nvPicPr>
                        <pic:blipFill>
                          <a:blip r:embed="rId35"/>
                          <a:stretch>
                            <a:fillRect/>
                          </a:stretch>
                        </pic:blipFill>
                        <pic:spPr>
                          <a:xfrm>
                            <a:off x="0" y="0"/>
                            <a:ext cx="190500" cy="228600"/>
                          </a:xfrm>
                          <a:prstGeom prst="rect">
                            <a:avLst/>
                          </a:prstGeom>
                          <a:noFill/>
                          <a:ln>
                            <a:noFill/>
                          </a:ln>
                        </pic:spPr>
                      </pic:pic>
                    </a:graphicData>
                  </a:graphic>
                </wp:inline>
              </w:drawing>
            </w:r>
            <w:r>
              <w:rPr>
                <w:rFonts w:ascii="宋体" w:hAnsi="宋体" w:eastAsia="宋体" w:cs="Times New Roman"/>
                <w:kern w:val="0"/>
                <w:sz w:val="22"/>
              </w:rPr>
              <w:t>：CDO层级脱离点</w:t>
            </w:r>
          </w:p>
        </w:tc>
      </w:tr>
    </w:tbl>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（7）商品类衍生工具单个商品子类的有效名义本金计算公式如下：</w:t>
      </w:r>
    </w:p>
    <w:p>
      <w:pPr>
        <w:jc w:val="center"/>
        <w:rPr>
          <w:rFonts w:ascii="仿宋_GB2312" w:hAnsi="Times New Roman" w:eastAsia="仿宋_GB2312" w:cs="Times New Roman"/>
          <w:bCs/>
          <w:sz w:val="30"/>
          <w:szCs w:val="30"/>
        </w:rPr>
      </w:pPr>
      <w:r>
        <w:rPr>
          <w:rFonts w:ascii="仿宋_GB2312" w:hAnsi="Times New Roman" w:eastAsia="仿宋_GB2312" w:cs="Times New Roman"/>
          <w:position w:val="-32"/>
          <w:sz w:val="30"/>
          <w:szCs w:val="30"/>
        </w:rPr>
        <w:drawing>
          <wp:inline distT="0" distB="0" distL="114300" distR="114300">
            <wp:extent cx="2735580" cy="426720"/>
            <wp:effectExtent l="0" t="0" r="0" b="0"/>
            <wp:docPr id="3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pic:cNvPicPr>
                      <a:picLocks noChangeAspect="1"/>
                    </pic:cNvPicPr>
                  </pic:nvPicPr>
                  <pic:blipFill>
                    <a:blip r:embed="rId36"/>
                    <a:stretch>
                      <a:fillRect/>
                    </a:stretch>
                  </pic:blipFill>
                  <pic:spPr>
                    <a:xfrm>
                      <a:off x="0" y="0"/>
                      <a:ext cx="2735580" cy="426720"/>
                    </a:xfrm>
                    <a:prstGeom prst="rect">
                      <a:avLst/>
                    </a:prstGeom>
                    <a:noFill/>
                    <a:ln>
                      <a:noFill/>
                    </a:ln>
                  </pic:spPr>
                </pic:pic>
              </a:graphicData>
            </a:graphic>
          </wp:inline>
        </w:drawing>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（8）其他衍生工具单个抵消组合的有效名义本金计算公式如下：</w:t>
      </w:r>
    </w:p>
    <w:p>
      <w:pPr>
        <w:jc w:val="center"/>
        <w:rPr>
          <w:rFonts w:ascii="仿宋_GB2312" w:hAnsi="Times New Roman" w:eastAsia="仿宋_GB2312" w:cs="Times New Roman"/>
          <w:position w:val="-32"/>
          <w:sz w:val="30"/>
          <w:szCs w:val="30"/>
        </w:rPr>
      </w:pPr>
      <w:r>
        <w:rPr>
          <w:rFonts w:ascii="仿宋_GB2312" w:hAnsi="Times New Roman" w:eastAsia="仿宋_GB2312" w:cs="Times New Roman"/>
          <w:position w:val="-32"/>
          <w:sz w:val="30"/>
          <w:szCs w:val="30"/>
        </w:rPr>
        <w:drawing>
          <wp:anchor distT="0" distB="0" distL="114300" distR="114300" simplePos="0" relativeHeight="251659264" behindDoc="0" locked="0" layoutInCell="1" allowOverlap="1">
            <wp:simplePos x="0" y="0"/>
            <wp:positionH relativeFrom="column">
              <wp:posOffset>1528445</wp:posOffset>
            </wp:positionH>
            <wp:positionV relativeFrom="paragraph">
              <wp:posOffset>33020</wp:posOffset>
            </wp:positionV>
            <wp:extent cx="2598420" cy="426720"/>
            <wp:effectExtent l="0" t="0" r="0" b="0"/>
            <wp:wrapNone/>
            <wp:docPr id="3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pic:cNvPicPr>
                      <a:picLocks noChangeAspect="1"/>
                    </pic:cNvPicPr>
                  </pic:nvPicPr>
                  <pic:blipFill>
                    <a:blip r:embed="rId37"/>
                    <a:stretch>
                      <a:fillRect/>
                    </a:stretch>
                  </pic:blipFill>
                  <pic:spPr>
                    <a:xfrm>
                      <a:off x="0" y="0"/>
                      <a:ext cx="2598420" cy="426720"/>
                    </a:xfrm>
                    <a:prstGeom prst="rect">
                      <a:avLst/>
                    </a:prstGeom>
                    <a:noFill/>
                    <a:ln>
                      <a:noFill/>
                    </a:ln>
                  </pic:spPr>
                </pic:pic>
              </a:graphicData>
            </a:graphic>
          </wp:anchor>
        </w:drawing>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其中：δ、d和MF的定义及确定方法与利率类衍生工具一致。</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（9）调整后的名义本金应根据资产类别，按照下列方式计算：</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a.利率和信用类衍生工具：</w:t>
      </w:r>
    </w:p>
    <w:p>
      <w:pPr>
        <w:spacing w:line="480" w:lineRule="exact"/>
        <w:ind w:firstLine="600" w:firstLineChars="200"/>
        <w:jc w:val="center"/>
        <w:rPr>
          <w:rFonts w:ascii="仿宋_GB2312" w:hAnsi="Times New Roman" w:eastAsia="仿宋_GB2312" w:cs="Times New Roman"/>
          <w:bCs/>
          <w:sz w:val="30"/>
          <w:szCs w:val="30"/>
        </w:rPr>
      </w:pPr>
      <m:oMathPara>
        <m:oMath>
          <m:r>
            <m:rPr/>
            <w:rPr>
              <w:rFonts w:ascii="Cambria Math" w:hAnsi="Cambria Math" w:eastAsia="仿宋_GB2312" w:cs="Times New Roman"/>
              <w:sz w:val="30"/>
              <w:szCs w:val="30"/>
            </w:rPr>
            <m:t>d=SD∗Notiona</m:t>
          </m:r>
          <m:r>
            <m:rPr/>
            <w:rPr>
              <w:rFonts w:ascii="Cambria Math" w:hAnsi="Times New Roman" w:eastAsia="仿宋_GB2312" w:cs="Times New Roman"/>
              <w:sz w:val="30"/>
              <w:szCs w:val="30"/>
            </w:rPr>
            <m:t>l</m:t>
          </m:r>
        </m:oMath>
      </m:oMathPara>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其中：SD为监管久期；Notional为折算成本币的名义本金。</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b.汇率类衍生工具：</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d为合同中的外币端名义本金折算为本币值。如果一个汇率类衍生工具的两端都为外币，则两端名义本金均折算为本币值，较大者为调整后的名义本金。</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c.股票和商品衍生工具：</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d为每一单位股票或商品价格（例如一股股票或一桶原油）乘以标的数量。</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（10）监管久期的计算公式如下：</w:t>
      </w:r>
    </w:p>
    <w:p>
      <w:pPr>
        <w:jc w:val="center"/>
        <w:rPr>
          <w:rFonts w:ascii="仿宋_GB2312" w:hAnsi="Times New Roman" w:eastAsia="仿宋_GB2312" w:cs="Times New Roman"/>
          <w:sz w:val="30"/>
          <w:szCs w:val="30"/>
        </w:rPr>
      </w:pPr>
      <w:r>
        <w:rPr>
          <w:rFonts w:ascii="仿宋_GB2312" w:hAnsi="Times New Roman" w:eastAsia="仿宋_GB2312" w:cs="Times New Roman"/>
          <w:sz w:val="30"/>
          <w:szCs w:val="30"/>
        </w:rPr>
        <w:drawing>
          <wp:inline distT="0" distB="0" distL="114300" distR="114300">
            <wp:extent cx="2645410" cy="430530"/>
            <wp:effectExtent l="0" t="0" r="2540" b="7620"/>
            <wp:docPr id="3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pic:cNvPicPr>
                      <a:picLocks noChangeAspect="1"/>
                    </pic:cNvPicPr>
                  </pic:nvPicPr>
                  <pic:blipFill>
                    <a:blip r:embed="rId38"/>
                    <a:stretch>
                      <a:fillRect/>
                    </a:stretch>
                  </pic:blipFill>
                  <pic:spPr>
                    <a:xfrm>
                      <a:off x="0" y="0"/>
                      <a:ext cx="2665314" cy="434030"/>
                    </a:xfrm>
                    <a:prstGeom prst="rect">
                      <a:avLst/>
                    </a:prstGeom>
                    <a:noFill/>
                    <a:ln>
                      <a:noFill/>
                    </a:ln>
                  </pic:spPr>
                </pic:pic>
              </a:graphicData>
            </a:graphic>
          </wp:inline>
        </w:drawing>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w:t>
      </w:r>
      <m:oMath>
        <m:sSub>
          <m:sSubPr>
            <m:ctrlPr>
              <w:rPr>
                <w:rFonts w:ascii="Cambria Math" w:hAnsi="Cambria Math" w:eastAsia="仿宋_GB2312" w:cs="Times New Roman"/>
                <w:bCs/>
                <w:i/>
                <w:sz w:val="30"/>
                <w:szCs w:val="30"/>
              </w:rPr>
            </m:ctrlPr>
          </m:sSubPr>
          <m:e>
            <m:r>
              <m:rPr/>
              <w:rPr>
                <w:rFonts w:ascii="Cambria Math" w:hAnsi="Cambria Math" w:eastAsia="仿宋_GB2312" w:cs="Times New Roman"/>
                <w:sz w:val="30"/>
                <w:szCs w:val="30"/>
              </w:rPr>
              <m:t>S</m:t>
            </m:r>
            <m:ctrlPr>
              <w:rPr>
                <w:rFonts w:ascii="Cambria Math" w:hAnsi="Cambria Math" w:eastAsia="仿宋_GB2312" w:cs="Times New Roman"/>
                <w:bCs/>
                <w:i/>
                <w:sz w:val="30"/>
                <w:szCs w:val="30"/>
              </w:rPr>
            </m:ctrlPr>
          </m:e>
          <m:sub>
            <m:r>
              <m:rPr/>
              <w:rPr>
                <w:rFonts w:ascii="Cambria Math" w:hAnsi="Cambria Math" w:eastAsia="仿宋_GB2312" w:cs="Times New Roman"/>
                <w:sz w:val="30"/>
                <w:szCs w:val="30"/>
              </w:rPr>
              <m:t>i</m:t>
            </m:r>
            <m:ctrlPr>
              <w:rPr>
                <w:rFonts w:ascii="Cambria Math" w:hAnsi="Cambria Math" w:eastAsia="仿宋_GB2312" w:cs="Times New Roman"/>
                <w:bCs/>
                <w:i/>
                <w:sz w:val="30"/>
                <w:szCs w:val="30"/>
              </w:rPr>
            </m:ctrlPr>
          </m:sub>
        </m:sSub>
      </m:oMath>
      <w:r>
        <w:rPr>
          <w:rFonts w:hint="eastAsia" w:ascii="仿宋_GB2312" w:hAnsi="Times New Roman" w:eastAsia="仿宋_GB2312" w:cs="Times New Roman"/>
          <w:bCs/>
          <w:sz w:val="30"/>
          <w:szCs w:val="30"/>
        </w:rPr>
        <w:t>和</w:t>
      </w:r>
      <m:oMath>
        <m:sSub>
          <m:sSubPr>
            <m:ctrlPr>
              <w:rPr>
                <w:rFonts w:ascii="Cambria Math" w:hAnsi="Cambria Math" w:eastAsia="仿宋_GB2312" w:cs="Times New Roman"/>
                <w:bCs/>
                <w:i/>
                <w:sz w:val="30"/>
                <w:szCs w:val="30"/>
              </w:rPr>
            </m:ctrlPr>
          </m:sSubPr>
          <m:e>
            <m:r>
              <m:rPr/>
              <w:rPr>
                <w:rFonts w:ascii="Cambria Math" w:hAnsi="Cambria Math" w:eastAsia="仿宋_GB2312" w:cs="Times New Roman"/>
                <w:sz w:val="30"/>
                <w:szCs w:val="30"/>
              </w:rPr>
              <m:t>E</m:t>
            </m:r>
            <m:ctrlPr>
              <w:rPr>
                <w:rFonts w:ascii="Cambria Math" w:hAnsi="Cambria Math" w:eastAsia="仿宋_GB2312" w:cs="Times New Roman"/>
                <w:bCs/>
                <w:i/>
                <w:sz w:val="30"/>
                <w:szCs w:val="30"/>
              </w:rPr>
            </m:ctrlPr>
          </m:e>
          <m:sub>
            <m:r>
              <m:rPr/>
              <w:rPr>
                <w:rFonts w:ascii="Cambria Math" w:hAnsi="Cambria Math" w:eastAsia="仿宋_GB2312" w:cs="Times New Roman"/>
                <w:sz w:val="30"/>
                <w:szCs w:val="30"/>
              </w:rPr>
              <m:t>i</m:t>
            </m:r>
            <m:ctrlPr>
              <w:rPr>
                <w:rFonts w:ascii="Cambria Math" w:hAnsi="Cambria Math" w:eastAsia="仿宋_GB2312" w:cs="Times New Roman"/>
                <w:bCs/>
                <w:i/>
                <w:sz w:val="30"/>
                <w:szCs w:val="30"/>
              </w:rPr>
            </m:ctrlPr>
          </m:sub>
        </m:sSub>
      </m:oMath>
      <w:r>
        <w:rPr>
          <w:rFonts w:hint="eastAsia" w:ascii="仿宋_GB2312" w:hAnsi="Times New Roman" w:eastAsia="仿宋_GB2312" w:cs="Times New Roman"/>
          <w:bCs/>
          <w:sz w:val="30"/>
          <w:szCs w:val="30"/>
        </w:rPr>
        <w:t>分别代表当前距离衍生工具的起始日期和结束日期的时间间距，最小为10个工作日，对于进行中的合约（例如一个进行中的利率互换），</w:t>
      </w:r>
      <m:oMath>
        <m:sSub>
          <m:sSubPr>
            <m:ctrlPr>
              <w:rPr>
                <w:rFonts w:ascii="Cambria Math" w:hAnsi="Cambria Math" w:eastAsia="仿宋_GB2312" w:cs="Times New Roman"/>
                <w:bCs/>
                <w:i/>
                <w:sz w:val="30"/>
                <w:szCs w:val="30"/>
              </w:rPr>
            </m:ctrlPr>
          </m:sSubPr>
          <m:e>
            <m:r>
              <m:rPr/>
              <w:rPr>
                <w:rFonts w:ascii="Cambria Math" w:hAnsi="Cambria Math" w:eastAsia="仿宋_GB2312" w:cs="Times New Roman"/>
                <w:sz w:val="30"/>
                <w:szCs w:val="30"/>
              </w:rPr>
              <m:t>S</m:t>
            </m:r>
            <m:ctrlPr>
              <w:rPr>
                <w:rFonts w:ascii="Cambria Math" w:hAnsi="Cambria Math" w:eastAsia="仿宋_GB2312" w:cs="Times New Roman"/>
                <w:bCs/>
                <w:i/>
                <w:sz w:val="30"/>
                <w:szCs w:val="30"/>
              </w:rPr>
            </m:ctrlPr>
          </m:e>
          <m:sub>
            <m:r>
              <m:rPr/>
              <w:rPr>
                <w:rFonts w:ascii="Cambria Math" w:hAnsi="Cambria Math" w:eastAsia="仿宋_GB2312" w:cs="Times New Roman"/>
                <w:sz w:val="30"/>
                <w:szCs w:val="30"/>
              </w:rPr>
              <m:t>i</m:t>
            </m:r>
            <m:ctrlPr>
              <w:rPr>
                <w:rFonts w:ascii="Cambria Math" w:hAnsi="Cambria Math" w:eastAsia="仿宋_GB2312" w:cs="Times New Roman"/>
                <w:bCs/>
                <w:i/>
                <w:sz w:val="30"/>
                <w:szCs w:val="30"/>
              </w:rPr>
            </m:ctrlPr>
          </m:sub>
        </m:sSub>
      </m:oMath>
      <w:r>
        <w:rPr>
          <w:rFonts w:hint="eastAsia" w:ascii="仿宋_GB2312" w:hAnsi="Times New Roman" w:eastAsia="仿宋_GB2312" w:cs="Times New Roman"/>
          <w:bCs/>
          <w:sz w:val="30"/>
          <w:szCs w:val="30"/>
        </w:rPr>
        <w:t>为0。如果衍生工具标的是其他利率或信用工具（例如利率互换期权或债券期权），时间间距应基于标的确定，如剩余期限1年的利率互换期权，行权标的为5年期利率互换，</w:t>
      </w:r>
      <m:oMath>
        <m:sSub>
          <m:sSubPr>
            <m:ctrlPr>
              <w:rPr>
                <w:rFonts w:ascii="Cambria Math" w:hAnsi="Cambria Math" w:eastAsia="仿宋_GB2312" w:cs="Times New Roman"/>
                <w:bCs/>
                <w:i/>
                <w:sz w:val="30"/>
                <w:szCs w:val="30"/>
              </w:rPr>
            </m:ctrlPr>
          </m:sSubPr>
          <m:e>
            <m:r>
              <m:rPr/>
              <w:rPr>
                <w:rFonts w:ascii="Cambria Math" w:hAnsi="Cambria Math" w:eastAsia="仿宋_GB2312" w:cs="Times New Roman"/>
                <w:sz w:val="30"/>
                <w:szCs w:val="30"/>
              </w:rPr>
              <m:t>S</m:t>
            </m:r>
            <m:ctrlPr>
              <w:rPr>
                <w:rFonts w:ascii="Cambria Math" w:hAnsi="Cambria Math" w:eastAsia="仿宋_GB2312" w:cs="Times New Roman"/>
                <w:bCs/>
                <w:i/>
                <w:sz w:val="30"/>
                <w:szCs w:val="30"/>
              </w:rPr>
            </m:ctrlPr>
          </m:e>
          <m:sub>
            <m:r>
              <m:rPr/>
              <w:rPr>
                <w:rFonts w:ascii="Cambria Math" w:hAnsi="Cambria Math" w:eastAsia="仿宋_GB2312" w:cs="Times New Roman"/>
                <w:sz w:val="30"/>
                <w:szCs w:val="30"/>
              </w:rPr>
              <m:t>i</m:t>
            </m:r>
            <m:ctrlPr>
              <w:rPr>
                <w:rFonts w:ascii="Cambria Math" w:hAnsi="Cambria Math" w:eastAsia="仿宋_GB2312" w:cs="Times New Roman"/>
                <w:bCs/>
                <w:i/>
                <w:sz w:val="30"/>
                <w:szCs w:val="30"/>
              </w:rPr>
            </m:ctrlPr>
          </m:sub>
        </m:sSub>
      </m:oMath>
      <w:r>
        <w:rPr>
          <w:rFonts w:hint="eastAsia" w:ascii="仿宋_GB2312" w:hAnsi="Times New Roman" w:eastAsia="仿宋_GB2312" w:cs="Times New Roman"/>
          <w:bCs/>
          <w:sz w:val="30"/>
          <w:szCs w:val="30"/>
        </w:rPr>
        <w:t>为1年，</w:t>
      </w:r>
      <m:oMath>
        <m:sSub>
          <m:sSubPr>
            <m:ctrlPr>
              <w:rPr>
                <w:rFonts w:ascii="Cambria Math" w:hAnsi="Cambria Math" w:eastAsia="仿宋_GB2312" w:cs="Times New Roman"/>
                <w:bCs/>
                <w:i/>
                <w:sz w:val="30"/>
                <w:szCs w:val="30"/>
              </w:rPr>
            </m:ctrlPr>
          </m:sSubPr>
          <m:e>
            <m:r>
              <m:rPr/>
              <w:rPr>
                <w:rFonts w:ascii="Cambria Math" w:hAnsi="Cambria Math" w:eastAsia="仿宋_GB2312" w:cs="Times New Roman"/>
                <w:sz w:val="30"/>
                <w:szCs w:val="30"/>
              </w:rPr>
              <m:t>E</m:t>
            </m:r>
            <m:ctrlPr>
              <w:rPr>
                <w:rFonts w:ascii="Cambria Math" w:hAnsi="Cambria Math" w:eastAsia="仿宋_GB2312" w:cs="Times New Roman"/>
                <w:bCs/>
                <w:i/>
                <w:sz w:val="30"/>
                <w:szCs w:val="30"/>
              </w:rPr>
            </m:ctrlPr>
          </m:e>
          <m:sub>
            <m:r>
              <m:rPr/>
              <w:rPr>
                <w:rFonts w:ascii="Cambria Math" w:hAnsi="Cambria Math" w:eastAsia="仿宋_GB2312" w:cs="Times New Roman"/>
                <w:sz w:val="30"/>
                <w:szCs w:val="30"/>
              </w:rPr>
              <m:t>i</m:t>
            </m:r>
            <m:ctrlPr>
              <w:rPr>
                <w:rFonts w:ascii="Cambria Math" w:hAnsi="Cambria Math" w:eastAsia="仿宋_GB2312" w:cs="Times New Roman"/>
                <w:bCs/>
                <w:i/>
                <w:sz w:val="30"/>
                <w:szCs w:val="30"/>
              </w:rPr>
            </m:ctrlPr>
          </m:sub>
        </m:sSub>
      </m:oMath>
      <w:r>
        <w:rPr>
          <w:rFonts w:hint="eastAsia" w:ascii="仿宋_GB2312" w:hAnsi="Times New Roman" w:eastAsia="仿宋_GB2312" w:cs="Times New Roman"/>
          <w:bCs/>
          <w:sz w:val="30"/>
          <w:szCs w:val="30"/>
        </w:rPr>
        <w:t>为6年。</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（11）当交易的名义本金在到期日前没有明确约定时，商业银行应采用下列方法确定名义本金：</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a.当名义本金为市场价值的函数时，银行应用当前市场价值确定交易的名义本金。</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b.对于可变名义本金互换（如增长型和减弱型互换），银行应用互换剩余期限的名义本金平均值作为交易的名义本金。</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c</w:t>
      </w:r>
      <w:r>
        <w:rPr>
          <w:rFonts w:hint="eastAsia" w:ascii="仿宋_GB2312" w:hAnsi="Times New Roman" w:eastAsia="仿宋_GB2312" w:cs="Times New Roman"/>
          <w:bCs/>
          <w:sz w:val="30"/>
          <w:szCs w:val="30"/>
        </w:rPr>
        <w:t>.杠杆类互换应转换为等价的非杠杆类互换来计算名义本金，当互换中的利率乘以一个乘数时，交易的名义本金也应乘以这个利率乘数。</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d</w:t>
      </w:r>
      <w:r>
        <w:rPr>
          <w:rFonts w:hint="eastAsia" w:ascii="仿宋_GB2312" w:hAnsi="Times New Roman" w:eastAsia="仿宋_GB2312" w:cs="Times New Roman"/>
          <w:bCs/>
          <w:sz w:val="30"/>
          <w:szCs w:val="30"/>
        </w:rPr>
        <w:t>.对于需要多次交换名义本金的衍生工具合同，交易的名义本金要乘以衍生工具合同中的本金交换次数。</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（12）期限因子应按照是否有保证金分别计算：</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a.对于无保证金交易，期限因子计算公式如下：</w:t>
      </w:r>
    </w:p>
    <w:p>
      <w:pPr>
        <w:rPr>
          <w:rFonts w:cs="Times New Roman"/>
          <w:bCs/>
        </w:rPr>
      </w:pPr>
      <m:oMathPara>
        <m:oMath>
          <m:sSup>
            <m:sSupPr>
              <m:ctrlPr>
                <w:rPr>
                  <w:rFonts w:ascii="Cambria Math" w:hAnsi="Cambria Math" w:eastAsia="仿宋_GB2312" w:cs="Times New Roman"/>
                  <w:bCs/>
                  <w:i/>
                  <w:sz w:val="28"/>
                  <w:szCs w:val="28"/>
                </w:rPr>
              </m:ctrlPr>
            </m:sSupPr>
            <m:e>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MF</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Sub>
              <m:ctrlPr>
                <w:rPr>
                  <w:rFonts w:ascii="Cambria Math" w:hAnsi="Cambria Math" w:eastAsia="仿宋_GB2312" w:cs="Times New Roman"/>
                  <w:bCs/>
                  <w:i/>
                  <w:sz w:val="28"/>
                  <w:szCs w:val="28"/>
                </w:rPr>
              </m:ctrlPr>
            </m:e>
            <m:sup>
              <m:d>
                <m:dPr>
                  <m:ctrlPr>
                    <w:rPr>
                      <w:rFonts w:ascii="Cambria Math" w:hAnsi="Cambria Math" w:eastAsia="仿宋_GB2312" w:cs="Times New Roman"/>
                      <w:i/>
                      <w:sz w:val="28"/>
                      <w:szCs w:val="28"/>
                    </w:rPr>
                  </m:ctrlPr>
                </m:dPr>
                <m:e>
                  <m:r>
                    <m:rPr/>
                    <w:rPr>
                      <w:rFonts w:hint="eastAsia" w:ascii="Cambria Math" w:hAnsi="Cambria Math" w:eastAsia="仿宋_GB2312" w:cs="Times New Roman"/>
                      <w:sz w:val="28"/>
                      <w:szCs w:val="28"/>
                    </w:rPr>
                    <m:t>无保证金交易</m:t>
                  </m:r>
                  <m:ctrlPr>
                    <w:rPr>
                      <w:rFonts w:ascii="Cambria Math" w:hAnsi="Cambria Math" w:eastAsia="仿宋_GB2312" w:cs="Times New Roman"/>
                      <w:i/>
                      <w:sz w:val="28"/>
                      <w:szCs w:val="28"/>
                    </w:rPr>
                  </m:ctrlPr>
                </m:e>
              </m:d>
              <m:ctrlPr>
                <w:rPr>
                  <w:rFonts w:ascii="Cambria Math" w:hAnsi="Cambria Math" w:eastAsia="仿宋_GB2312" w:cs="Times New Roman"/>
                  <w:bCs/>
                  <w:i/>
                  <w:sz w:val="28"/>
                  <w:szCs w:val="28"/>
                </w:rPr>
              </m:ctrlPr>
            </m:sup>
          </m:sSup>
          <m:r>
            <m:rPr/>
            <w:rPr>
              <w:rFonts w:ascii="Cambria Math" w:hAnsi="Cambria Math" w:eastAsia="仿宋_GB2312" w:cs="Times New Roman"/>
              <w:sz w:val="28"/>
              <w:szCs w:val="28"/>
            </w:rPr>
            <m:t>=</m:t>
          </m:r>
          <m:f>
            <m:fPr>
              <m:ctrlPr>
                <w:rPr>
                  <w:rFonts w:ascii="Cambria Math" w:hAnsi="Cambria Math" w:eastAsia="仿宋_GB2312" w:cs="Times New Roman"/>
                  <w:bCs/>
                  <w:i/>
                  <w:sz w:val="28"/>
                  <w:szCs w:val="28"/>
                </w:rPr>
              </m:ctrlPr>
            </m:fPr>
            <m:num>
              <m:rad>
                <m:radPr>
                  <m:degHide m:val="1"/>
                  <m:ctrlPr>
                    <w:rPr>
                      <w:rFonts w:ascii="Cambria Math" w:hAnsi="Cambria Math" w:eastAsia="仿宋_GB2312" w:cs="Times New Roman"/>
                      <w:bCs/>
                      <w:i/>
                      <w:sz w:val="28"/>
                      <w:szCs w:val="28"/>
                    </w:rPr>
                  </m:ctrlPr>
                </m:radPr>
                <m:deg>
                  <m:ctrlPr>
                    <w:rPr>
                      <w:rFonts w:ascii="Cambria Math" w:hAnsi="Cambria Math" w:eastAsia="仿宋_GB2312" w:cs="Times New Roman"/>
                      <w:bCs/>
                      <w:i/>
                      <w:sz w:val="28"/>
                      <w:szCs w:val="28"/>
                    </w:rPr>
                  </m:ctrlPr>
                </m:deg>
                <m:e>
                  <m:func>
                    <m:funcPr>
                      <m:ctrlPr>
                        <w:rPr>
                          <w:rFonts w:ascii="Cambria Math" w:hAnsi="Cambria Math" w:eastAsia="仿宋_GB2312" w:cs="Times New Roman"/>
                          <w:sz w:val="28"/>
                          <w:szCs w:val="28"/>
                        </w:rPr>
                      </m:ctrlPr>
                    </m:funcPr>
                    <m:fName>
                      <m:r>
                        <m:rPr>
                          <m:sty m:val="p"/>
                        </m:rPr>
                        <w:rPr>
                          <w:rFonts w:ascii="Cambria Math" w:hAnsi="Cambria Math" w:eastAsia="仿宋_GB2312" w:cs="Times New Roman"/>
                          <w:sz w:val="28"/>
                          <w:szCs w:val="28"/>
                        </w:rPr>
                        <m:t>min</m:t>
                      </m:r>
                      <m:ctrlPr>
                        <w:rPr>
                          <w:rFonts w:ascii="Cambria Math" w:hAnsi="Cambria Math" w:eastAsia="仿宋_GB2312" w:cs="Times New Roman"/>
                          <w:sz w:val="28"/>
                          <w:szCs w:val="28"/>
                        </w:rPr>
                      </m:ctrlPr>
                    </m:fName>
                    <m:e>
                      <m:d>
                        <m:dPr>
                          <m:begChr m:val="{"/>
                          <m:endChr m:val="}"/>
                          <m:ctrlPr>
                            <w:rPr>
                              <w:rFonts w:ascii="Cambria Math" w:hAnsi="Cambria Math" w:eastAsia="仿宋_GB2312" w:cs="Times New Roman"/>
                              <w:i/>
                              <w:sz w:val="28"/>
                              <w:szCs w:val="28"/>
                            </w:rPr>
                          </m:ctrlPr>
                        </m:dPr>
                        <m:e>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M</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Sub>
                          <m:r>
                            <m:rPr/>
                            <w:rPr>
                              <w:rFonts w:ascii="Cambria Math" w:hAnsi="Cambria Math" w:eastAsia="仿宋_GB2312" w:cs="Times New Roman"/>
                              <w:sz w:val="28"/>
                              <w:szCs w:val="28"/>
                            </w:rPr>
                            <m:t>, 250</m:t>
                          </m:r>
                          <m:ctrlPr>
                            <w:rPr>
                              <w:rFonts w:ascii="Cambria Math" w:hAnsi="Cambria Math" w:eastAsia="仿宋_GB2312" w:cs="Times New Roman"/>
                              <w:i/>
                              <w:sz w:val="28"/>
                              <w:szCs w:val="28"/>
                            </w:rPr>
                          </m:ctrlPr>
                        </m:e>
                      </m:d>
                      <m:ctrlPr>
                        <w:rPr>
                          <w:rFonts w:ascii="Cambria Math" w:hAnsi="Cambria Math" w:eastAsia="仿宋_GB2312" w:cs="Times New Roman"/>
                          <w:sz w:val="28"/>
                          <w:szCs w:val="28"/>
                        </w:rPr>
                      </m:ctrlPr>
                    </m:e>
                  </m:func>
                  <m:ctrlPr>
                    <w:rPr>
                      <w:rFonts w:ascii="Cambria Math" w:hAnsi="Cambria Math" w:eastAsia="仿宋_GB2312" w:cs="Times New Roman"/>
                      <w:bCs/>
                      <w:i/>
                      <w:sz w:val="28"/>
                      <w:szCs w:val="28"/>
                    </w:rPr>
                  </m:ctrlPr>
                </m:e>
              </m:rad>
              <m:ctrlPr>
                <w:rPr>
                  <w:rFonts w:ascii="Cambria Math" w:hAnsi="Cambria Math" w:eastAsia="仿宋_GB2312" w:cs="Times New Roman"/>
                  <w:bCs/>
                  <w:i/>
                  <w:sz w:val="28"/>
                  <w:szCs w:val="28"/>
                </w:rPr>
              </m:ctrlPr>
            </m:num>
            <m:den>
              <m:r>
                <m:rPr/>
                <w:rPr>
                  <w:rFonts w:ascii="Cambria Math" w:hAnsi="Cambria Math" w:eastAsia="仿宋_GB2312" w:cs="Times New Roman"/>
                  <w:sz w:val="28"/>
                  <w:szCs w:val="28"/>
                </w:rPr>
                <m:t>250</m:t>
              </m:r>
              <m:ctrlPr>
                <w:rPr>
                  <w:rFonts w:ascii="Cambria Math" w:hAnsi="Cambria Math" w:eastAsia="仿宋_GB2312" w:cs="Times New Roman"/>
                  <w:bCs/>
                  <w:i/>
                  <w:sz w:val="28"/>
                  <w:szCs w:val="28"/>
                </w:rPr>
              </m:ctrlPr>
            </m:den>
          </m:f>
        </m:oMath>
      </m:oMathPara>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其中：M</w:t>
      </w:r>
      <w:r>
        <w:rPr>
          <w:rFonts w:ascii="仿宋_GB2312" w:hAnsi="Times New Roman" w:eastAsia="仿宋_GB2312" w:cs="Times New Roman"/>
          <w:bCs/>
          <w:sz w:val="30"/>
          <w:szCs w:val="30"/>
          <w:vertAlign w:val="subscript"/>
        </w:rPr>
        <w:t>i</w:t>
      </w:r>
      <w:r>
        <w:rPr>
          <w:rFonts w:hint="eastAsia" w:ascii="仿宋_GB2312" w:hAnsi="Times New Roman" w:eastAsia="仿宋_GB2312" w:cs="Times New Roman"/>
          <w:bCs/>
          <w:sz w:val="30"/>
          <w:szCs w:val="30"/>
        </w:rPr>
        <w:t>是交易i的剩余期限，最小为10个工作日。</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某些结构化衍生工具规定在特定日期，其未偿付风险暴露将被重置并结算，同时价值清零，此时剩余期限的到期日为下一个重置日。</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b.对于保证金交易，期限因子计算公式如下：</w:t>
      </w:r>
    </w:p>
    <w:p>
      <w:pPr>
        <w:jc w:val="center"/>
        <w:rPr>
          <w:rFonts w:ascii="仿宋_GB2312" w:hAnsi="Times New Roman" w:eastAsia="仿宋_GB2312" w:cs="Times New Roman"/>
          <w:bCs/>
          <w:sz w:val="30"/>
          <w:szCs w:val="30"/>
        </w:rPr>
      </w:pPr>
      <w:r>
        <w:rPr>
          <w:rFonts w:ascii="仿宋_GB2312" w:hAnsi="Times New Roman" w:eastAsia="仿宋_GB2312" w:cs="Times New Roman"/>
          <w:position w:val="-26"/>
          <w:sz w:val="30"/>
          <w:szCs w:val="30"/>
        </w:rPr>
        <w:drawing>
          <wp:inline distT="0" distB="0" distL="114300" distR="114300">
            <wp:extent cx="1783080" cy="495300"/>
            <wp:effectExtent l="0" t="0" r="0" b="1270"/>
            <wp:docPr id="3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pic:cNvPicPr>
                      <a:picLocks noChangeAspect="1"/>
                    </pic:cNvPicPr>
                  </pic:nvPicPr>
                  <pic:blipFill>
                    <a:blip r:embed="rId39"/>
                    <a:stretch>
                      <a:fillRect/>
                    </a:stretch>
                  </pic:blipFill>
                  <pic:spPr>
                    <a:xfrm>
                      <a:off x="0" y="0"/>
                      <a:ext cx="1783080" cy="495300"/>
                    </a:xfrm>
                    <a:prstGeom prst="rect">
                      <a:avLst/>
                    </a:prstGeom>
                    <a:noFill/>
                    <a:ln>
                      <a:noFill/>
                    </a:ln>
                  </pic:spPr>
                </pic:pic>
              </a:graphicData>
            </a:graphic>
          </wp:inline>
        </w:drawing>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MPOR取决于保证金风险期间，是指自违约交易对手最后一次提供足额保证金的时点至商业银行与该交易对手交易终止并完全对冲市场风险的期间。其中，中央清算的衍生工具交易最小为10个工作日；非中央清算的衍生工具交易根据保证金协议确定，最小为10+N-1天（N为盯市保证金交换的工作日间隔，逐日盯市保证金下N为1）；包括5000笔以上与非中央交易对手交易的净额组合最小为20个工作日；若净额结算组合中包含缺乏流动性的质押品或衍生工具，最小为20个工作日；具有争议的净额结算组合保证金风险期限要乘以2。缺乏流动性是指在压力环境下，没有连续的活跃市场报价，如两个工作日内无可成交有效报价。具有争议的净额结算组合是指：商业银行与该净额结算组合内的交易对手，在过去6个月内发生至少2次因追加保证金引发的争议，且在规定的保证金期限内未能解决。</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13）对于参考标的为两个风险因子的基差且以同一货币计价的衍生工具，应根据基差类别分别视为单独的抵消组合，如以6个月Shibor与3个月Shibor基差、10年国债收益率与10年国开债收益率基差为标的的衍生工具应分别视为单独的抵消组合。上述基差类抵消组合的监管因子应在表2基础上乘以0.5。对于参考标的为两个风险因子的基差且以不同货币计价的衍生工具，如货币利率互换，则应视为汇率类衍生工具而非利率基差类衍生工具。</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（14）对于参考标的为风险因子波动率的衍生工具，应根据波动率标的的资产类别分别视为单独的抵消组合，如所有股票波动率交易应视为一个抵消组合。上述波动率类抵消组合的监管因子应在表2基础上乘以5。</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4.对于未签订净额结算和保证金协议的卖出期权交易，若其期权费已交割，可认为违约风险暴露为0；对于为对冲银行账簿信用风险或交易对手信用风险购买的合格信用衍生工具，若银行在信用框架下已考虑风险缓释作用并足额计提风险加权资产，可认为违约风险暴露为0，其中合格信用衍生工具应符合本办法附件3第四部分的标准；对于划入银行账簿的信用衍生工具卖出保护交易，若银行视为保证计算信用风险加权资产，可认为违约风险暴露为0；对于未签订净额结算和保证金协议的信用衍生工具卖出保护交易，违约风险暴露以信用保护买方尚未支付的费用为上限。</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5</w:t>
      </w:r>
      <w:r>
        <w:rPr>
          <w:rFonts w:hint="eastAsia" w:ascii="仿宋_GB2312" w:hAnsi="Times New Roman" w:eastAsia="仿宋_GB2312" w:cs="Times New Roman"/>
          <w:bCs/>
          <w:sz w:val="30"/>
          <w:szCs w:val="30"/>
        </w:rPr>
        <w:t>.多个保证金协议和净额结算组合的处理</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（1）单个净额结算组合下的多个保证金协议</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若存在以下情形，可认定单个净额结算组合下有多个保证金协议：</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a.净额结算组合同时包括保证金交易和无保证金交易。</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b.净额结算组合由多个变动保证金协议覆盖的保证金交易组成。</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重置成本的计算公式与保证金交易相同，其中：</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V、C和N</w:t>
      </w:r>
      <w:r>
        <w:rPr>
          <w:rFonts w:ascii="仿宋_GB2312" w:hAnsi="Times New Roman" w:eastAsia="仿宋_GB2312" w:cs="Times New Roman"/>
          <w:bCs/>
          <w:sz w:val="30"/>
          <w:szCs w:val="30"/>
        </w:rPr>
        <w:t>ICA</w:t>
      </w:r>
      <w:r>
        <w:rPr>
          <w:rFonts w:hint="eastAsia" w:ascii="仿宋_GB2312" w:hAnsi="Times New Roman" w:eastAsia="仿宋_GB2312" w:cs="Times New Roman"/>
          <w:bCs/>
          <w:sz w:val="30"/>
          <w:szCs w:val="30"/>
        </w:rPr>
        <w:t>的定义与保证金交易相同。</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TH为该净额结算组合下所有变动保证金协议对应的TH之和。</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MTA为该净额结算组合下所有变动保证金协议对应的MTA之和。</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潜在风险暴露为子净额结算组合的潜在风险暴露之和，其中子净额结算组合应按以下要求划分：</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a.该净额结算组合下的所有无保证金交易构成子净额结算组合。</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b.该净额结算组合下适用同一MPOR的保证金交易构成子净额结算组合。</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（2）单个保证金协议下的多个净额结算组合</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重置成本计算公式如下：</w:t>
      </w:r>
    </w:p>
    <w:p>
      <w:pPr>
        <w:ind w:firstLine="560" w:firstLineChars="200"/>
        <w:jc w:val="center"/>
        <w:rPr>
          <w:rFonts w:ascii="仿宋_GB2312" w:eastAsia="仿宋_GB2312"/>
          <w:sz w:val="30"/>
          <w:szCs w:val="30"/>
        </w:rPr>
      </w:pPr>
      <m:oMathPara>
        <m:oMath>
          <m:r>
            <m:rPr/>
            <w:rPr>
              <w:rFonts w:ascii="Cambria Math" w:hAnsi="Cambria Math" w:eastAsia="仿宋_GB2312"/>
              <w:sz w:val="28"/>
              <w:szCs w:val="28"/>
            </w:rPr>
            <m:t>R</m:t>
          </m:r>
          <m:sSub>
            <m:sSubPr>
              <m:ctrlPr>
                <w:rPr>
                  <w:rFonts w:hint="eastAsia" w:ascii="Cambria Math" w:hAnsi="Cambria Math" w:eastAsia="仿宋_GB2312"/>
                  <w:i/>
                  <w:sz w:val="28"/>
                  <w:szCs w:val="28"/>
                </w:rPr>
              </m:ctrlPr>
            </m:sSubPr>
            <m:e>
              <m:r>
                <m:rPr/>
                <w:rPr>
                  <w:rFonts w:ascii="Cambria Math" w:hAnsi="Cambria Math" w:eastAsia="仿宋_GB2312"/>
                  <w:sz w:val="28"/>
                  <w:szCs w:val="28"/>
                </w:rPr>
                <m:t>C</m:t>
              </m:r>
              <m:ctrlPr>
                <w:rPr>
                  <w:rFonts w:hint="eastAsia" w:ascii="Cambria Math" w:hAnsi="Cambria Math" w:eastAsia="仿宋_GB2312"/>
                  <w:i/>
                  <w:sz w:val="28"/>
                  <w:szCs w:val="28"/>
                </w:rPr>
              </m:ctrlPr>
            </m:e>
            <m:sub>
              <m:r>
                <m:rPr/>
                <w:rPr>
                  <w:rFonts w:ascii="Cambria Math" w:hAnsi="Cambria Math" w:eastAsia="仿宋_GB2312"/>
                  <w:sz w:val="28"/>
                  <w:szCs w:val="28"/>
                </w:rPr>
                <m:t>MA</m:t>
              </m:r>
              <m:ctrlPr>
                <w:rPr>
                  <w:rFonts w:hint="eastAsia" w:ascii="Cambria Math" w:hAnsi="Cambria Math" w:eastAsia="仿宋_GB2312"/>
                  <w:i/>
                  <w:sz w:val="28"/>
                  <w:szCs w:val="28"/>
                </w:rPr>
              </m:ctrlPr>
            </m:sub>
          </m:sSub>
          <m:r>
            <m:rPr/>
            <w:rPr>
              <w:rFonts w:ascii="Cambria Math" w:hAnsi="Cambria Math" w:eastAsia="仿宋_GB2312"/>
              <w:sz w:val="28"/>
              <w:szCs w:val="28"/>
            </w:rPr>
            <m:t>=</m:t>
          </m:r>
          <m:func>
            <m:funcPr>
              <m:ctrlPr>
                <w:rPr>
                  <w:rFonts w:hint="eastAsia" w:ascii="Cambria Math" w:hAnsi="Cambria Math" w:eastAsia="仿宋_GB2312"/>
                  <w:i/>
                  <w:sz w:val="28"/>
                  <w:szCs w:val="28"/>
                </w:rPr>
              </m:ctrlPr>
            </m:funcPr>
            <m:fName>
              <m:r>
                <m:rPr/>
                <w:rPr>
                  <w:rFonts w:ascii="Cambria Math" w:hAnsi="Cambria Math" w:eastAsia="仿宋_GB2312"/>
                  <w:sz w:val="28"/>
                  <w:szCs w:val="28"/>
                </w:rPr>
                <m:t>max</m:t>
              </m:r>
              <m:ctrlPr>
                <w:rPr>
                  <w:rFonts w:hint="eastAsia" w:ascii="Cambria Math" w:hAnsi="Cambria Math" w:eastAsia="仿宋_GB2312"/>
                  <w:i/>
                  <w:sz w:val="28"/>
                  <w:szCs w:val="28"/>
                </w:rPr>
              </m:ctrlPr>
            </m:fName>
            <m:e>
              <m:d>
                <m:dPr>
                  <m:begChr m:val="{"/>
                  <m:endChr m:val="}"/>
                  <m:ctrlPr>
                    <w:rPr>
                      <w:rFonts w:hint="eastAsia" w:ascii="Cambria Math" w:hAnsi="Cambria Math" w:eastAsia="仿宋_GB2312"/>
                      <w:i/>
                      <w:sz w:val="28"/>
                      <w:szCs w:val="28"/>
                    </w:rPr>
                  </m:ctrlPr>
                </m:dPr>
                <m:e>
                  <m:nary>
                    <m:naryPr>
                      <m:chr m:val="∑"/>
                      <m:supHide m:val="1"/>
                      <m:ctrlPr>
                        <w:rPr>
                          <w:rFonts w:hint="eastAsia" w:ascii="Cambria Math" w:hAnsi="Cambria Math" w:eastAsia="仿宋_GB2312"/>
                          <w:i/>
                          <w:sz w:val="28"/>
                          <w:szCs w:val="28"/>
                        </w:rPr>
                      </m:ctrlPr>
                    </m:naryPr>
                    <m:sub>
                      <m:r>
                        <m:rPr/>
                        <w:rPr>
                          <w:rFonts w:ascii="Cambria Math" w:hAnsi="Cambria Math" w:eastAsia="仿宋_GB2312"/>
                          <w:sz w:val="28"/>
                          <w:szCs w:val="28"/>
                        </w:rPr>
                        <m:t>NS∈MA</m:t>
                      </m:r>
                      <m:ctrlPr>
                        <w:rPr>
                          <w:rFonts w:hint="eastAsia" w:ascii="Cambria Math" w:hAnsi="Cambria Math" w:eastAsia="仿宋_GB2312"/>
                          <w:i/>
                          <w:sz w:val="28"/>
                          <w:szCs w:val="28"/>
                        </w:rPr>
                      </m:ctrlPr>
                    </m:sub>
                    <m:sup>
                      <m:ctrlPr>
                        <w:rPr>
                          <w:rFonts w:hint="eastAsia" w:ascii="Cambria Math" w:hAnsi="Cambria Math" w:eastAsia="仿宋_GB2312"/>
                          <w:i/>
                          <w:sz w:val="28"/>
                          <w:szCs w:val="28"/>
                        </w:rPr>
                      </m:ctrlPr>
                    </m:sup>
                    <m:e>
                      <m:func>
                        <m:funcPr>
                          <m:ctrlPr>
                            <w:rPr>
                              <w:rFonts w:hint="eastAsia" w:ascii="Cambria Math" w:hAnsi="Cambria Math" w:eastAsia="仿宋_GB2312"/>
                              <w:i/>
                              <w:sz w:val="28"/>
                              <w:szCs w:val="28"/>
                            </w:rPr>
                          </m:ctrlPr>
                        </m:funcPr>
                        <m:fName>
                          <m:r>
                            <m:rPr/>
                            <w:rPr>
                              <w:rFonts w:ascii="Cambria Math" w:hAnsi="Cambria Math" w:eastAsia="仿宋_GB2312"/>
                              <w:sz w:val="28"/>
                              <w:szCs w:val="28"/>
                            </w:rPr>
                            <m:t>max</m:t>
                          </m:r>
                          <m:ctrlPr>
                            <w:rPr>
                              <w:rFonts w:hint="eastAsia" w:ascii="Cambria Math" w:hAnsi="Cambria Math" w:eastAsia="仿宋_GB2312"/>
                              <w:i/>
                              <w:sz w:val="28"/>
                              <w:szCs w:val="28"/>
                            </w:rPr>
                          </m:ctrlPr>
                        </m:fName>
                        <m:e>
                          <m:d>
                            <m:dPr>
                              <m:begChr m:val="{"/>
                              <m:endChr m:val="}"/>
                              <m:ctrlPr>
                                <w:rPr>
                                  <w:rFonts w:hint="eastAsia" w:ascii="Cambria Math" w:hAnsi="Cambria Math" w:eastAsia="仿宋_GB2312"/>
                                  <w:i/>
                                  <w:sz w:val="28"/>
                                  <w:szCs w:val="28"/>
                                </w:rPr>
                              </m:ctrlPr>
                            </m:dPr>
                            <m:e>
                              <m:sSub>
                                <m:sSubPr>
                                  <m:ctrlPr>
                                    <w:rPr>
                                      <w:rFonts w:hint="eastAsia" w:ascii="Cambria Math" w:hAnsi="Cambria Math" w:eastAsia="仿宋_GB2312"/>
                                      <w:i/>
                                      <w:sz w:val="28"/>
                                      <w:szCs w:val="28"/>
                                    </w:rPr>
                                  </m:ctrlPr>
                                </m:sSubPr>
                                <m:e>
                                  <m:r>
                                    <m:rPr/>
                                    <w:rPr>
                                      <w:rFonts w:ascii="Cambria Math" w:hAnsi="Cambria Math" w:eastAsia="仿宋_GB2312"/>
                                      <w:sz w:val="28"/>
                                      <w:szCs w:val="28"/>
                                    </w:rPr>
                                    <m:t>V</m:t>
                                  </m:r>
                                  <m:ctrlPr>
                                    <w:rPr>
                                      <w:rFonts w:hint="eastAsia" w:ascii="Cambria Math" w:hAnsi="Cambria Math" w:eastAsia="仿宋_GB2312"/>
                                      <w:i/>
                                      <w:sz w:val="28"/>
                                      <w:szCs w:val="28"/>
                                    </w:rPr>
                                  </m:ctrlPr>
                                </m:e>
                                <m:sub>
                                  <m:r>
                                    <m:rPr/>
                                    <w:rPr>
                                      <w:rFonts w:ascii="Cambria Math" w:hAnsi="Cambria Math" w:eastAsia="仿宋_GB2312"/>
                                      <w:sz w:val="28"/>
                                      <w:szCs w:val="28"/>
                                    </w:rPr>
                                    <m:t>NS</m:t>
                                  </m:r>
                                  <m:ctrlPr>
                                    <w:rPr>
                                      <w:rFonts w:hint="eastAsia" w:ascii="Cambria Math" w:hAnsi="Cambria Math" w:eastAsia="仿宋_GB2312"/>
                                      <w:i/>
                                      <w:sz w:val="28"/>
                                      <w:szCs w:val="28"/>
                                    </w:rPr>
                                  </m:ctrlPr>
                                </m:sub>
                              </m:sSub>
                              <m:r>
                                <m:rPr/>
                                <w:rPr>
                                  <w:rFonts w:ascii="Cambria Math" w:hAnsi="Cambria Math" w:eastAsia="仿宋_GB2312"/>
                                  <w:sz w:val="28"/>
                                  <w:szCs w:val="28"/>
                                </w:rPr>
                                <m:t>,0</m:t>
                              </m:r>
                              <m:ctrlPr>
                                <w:rPr>
                                  <w:rFonts w:hint="eastAsia" w:ascii="Cambria Math" w:hAnsi="Cambria Math" w:eastAsia="仿宋_GB2312"/>
                                  <w:i/>
                                  <w:sz w:val="28"/>
                                  <w:szCs w:val="28"/>
                                </w:rPr>
                              </m:ctrlPr>
                            </m:e>
                          </m:d>
                          <m:ctrlPr>
                            <w:rPr>
                              <w:rFonts w:hint="eastAsia" w:ascii="Cambria Math" w:hAnsi="Cambria Math" w:eastAsia="仿宋_GB2312"/>
                              <w:i/>
                              <w:sz w:val="28"/>
                              <w:szCs w:val="28"/>
                            </w:rPr>
                          </m:ctrlPr>
                        </m:e>
                      </m:func>
                      <m:ctrlPr>
                        <w:rPr>
                          <w:rFonts w:hint="eastAsia" w:ascii="Cambria Math" w:hAnsi="Cambria Math" w:eastAsia="仿宋_GB2312"/>
                          <w:i/>
                          <w:sz w:val="28"/>
                          <w:szCs w:val="28"/>
                        </w:rPr>
                      </m:ctrlPr>
                    </m:e>
                  </m:nary>
                  <m:r>
                    <m:rPr/>
                    <w:rPr>
                      <w:rFonts w:ascii="微软雅黑" w:hAnsi="微软雅黑" w:eastAsia="微软雅黑" w:cs="微软雅黑"/>
                      <w:sz w:val="28"/>
                      <w:szCs w:val="28"/>
                    </w:rPr>
                    <m:t>−</m:t>
                  </m:r>
                  <m:func>
                    <m:funcPr>
                      <m:ctrlPr>
                        <w:rPr>
                          <w:rFonts w:hint="eastAsia" w:ascii="Cambria Math" w:hAnsi="Cambria Math" w:eastAsia="仿宋_GB2312"/>
                          <w:i/>
                          <w:sz w:val="28"/>
                          <w:szCs w:val="28"/>
                        </w:rPr>
                      </m:ctrlPr>
                    </m:funcPr>
                    <m:fName>
                      <m:r>
                        <m:rPr/>
                        <w:rPr>
                          <w:rFonts w:ascii="Cambria Math" w:hAnsi="Cambria Math" w:eastAsia="仿宋_GB2312"/>
                          <w:sz w:val="28"/>
                          <w:szCs w:val="28"/>
                        </w:rPr>
                        <m:t>max</m:t>
                      </m:r>
                      <m:ctrlPr>
                        <w:rPr>
                          <w:rFonts w:hint="eastAsia" w:ascii="Cambria Math" w:hAnsi="Cambria Math" w:eastAsia="仿宋_GB2312"/>
                          <w:i/>
                          <w:sz w:val="28"/>
                          <w:szCs w:val="28"/>
                        </w:rPr>
                      </m:ctrlPr>
                    </m:fName>
                    <m:e>
                      <m:d>
                        <m:dPr>
                          <m:begChr m:val="{"/>
                          <m:endChr m:val="}"/>
                          <m:ctrlPr>
                            <w:rPr>
                              <w:rFonts w:hint="eastAsia" w:ascii="Cambria Math" w:hAnsi="Cambria Math" w:eastAsia="仿宋_GB2312"/>
                              <w:i/>
                              <w:sz w:val="28"/>
                              <w:szCs w:val="28"/>
                            </w:rPr>
                          </m:ctrlPr>
                        </m:dPr>
                        <m:e>
                          <m:sSub>
                            <m:sSubPr>
                              <m:ctrlPr>
                                <w:rPr>
                                  <w:rFonts w:hint="eastAsia" w:ascii="Cambria Math" w:hAnsi="Cambria Math" w:eastAsia="仿宋_GB2312"/>
                                  <w:i/>
                                  <w:sz w:val="28"/>
                                  <w:szCs w:val="28"/>
                                </w:rPr>
                              </m:ctrlPr>
                            </m:sSubPr>
                            <m:e>
                              <m:r>
                                <m:rPr/>
                                <w:rPr>
                                  <w:rFonts w:ascii="Cambria Math" w:hAnsi="Cambria Math" w:eastAsia="仿宋_GB2312"/>
                                  <w:sz w:val="28"/>
                                  <w:szCs w:val="28"/>
                                </w:rPr>
                                <m:t>C</m:t>
                              </m:r>
                              <m:ctrlPr>
                                <w:rPr>
                                  <w:rFonts w:hint="eastAsia" w:ascii="Cambria Math" w:hAnsi="Cambria Math" w:eastAsia="仿宋_GB2312"/>
                                  <w:i/>
                                  <w:sz w:val="28"/>
                                  <w:szCs w:val="28"/>
                                </w:rPr>
                              </m:ctrlPr>
                            </m:e>
                            <m:sub>
                              <m:r>
                                <m:rPr/>
                                <w:rPr>
                                  <w:rFonts w:ascii="Cambria Math" w:hAnsi="Cambria Math" w:eastAsia="仿宋_GB2312"/>
                                  <w:sz w:val="28"/>
                                  <w:szCs w:val="28"/>
                                </w:rPr>
                                <m:t>MA</m:t>
                              </m:r>
                              <m:ctrlPr>
                                <w:rPr>
                                  <w:rFonts w:hint="eastAsia" w:ascii="Cambria Math" w:hAnsi="Cambria Math" w:eastAsia="仿宋_GB2312"/>
                                  <w:i/>
                                  <w:sz w:val="28"/>
                                  <w:szCs w:val="28"/>
                                </w:rPr>
                              </m:ctrlPr>
                            </m:sub>
                          </m:sSub>
                          <m:r>
                            <m:rPr/>
                            <w:rPr>
                              <w:rFonts w:ascii="Cambria Math" w:hAnsi="Cambria Math" w:eastAsia="仿宋_GB2312"/>
                              <w:sz w:val="28"/>
                              <w:szCs w:val="28"/>
                            </w:rPr>
                            <m:t>,0</m:t>
                          </m:r>
                          <m:ctrlPr>
                            <w:rPr>
                              <w:rFonts w:hint="eastAsia" w:ascii="Cambria Math" w:hAnsi="Cambria Math" w:eastAsia="仿宋_GB2312"/>
                              <w:i/>
                              <w:sz w:val="28"/>
                              <w:szCs w:val="28"/>
                            </w:rPr>
                          </m:ctrlPr>
                        </m:e>
                      </m:d>
                      <m:ctrlPr>
                        <w:rPr>
                          <w:rFonts w:hint="eastAsia" w:ascii="Cambria Math" w:hAnsi="Cambria Math" w:eastAsia="仿宋_GB2312"/>
                          <w:i/>
                          <w:sz w:val="28"/>
                          <w:szCs w:val="28"/>
                        </w:rPr>
                      </m:ctrlPr>
                    </m:e>
                  </m:func>
                  <m:r>
                    <m:rPr/>
                    <w:rPr>
                      <w:rFonts w:ascii="Cambria Math" w:hAnsi="Cambria Math" w:eastAsia="仿宋_GB2312"/>
                      <w:sz w:val="28"/>
                      <w:szCs w:val="28"/>
                    </w:rPr>
                    <m:t>,0</m:t>
                  </m:r>
                  <m:ctrlPr>
                    <w:rPr>
                      <w:rFonts w:hint="eastAsia" w:ascii="Cambria Math" w:hAnsi="Cambria Math" w:eastAsia="仿宋_GB2312"/>
                      <w:i/>
                      <w:sz w:val="28"/>
                      <w:szCs w:val="28"/>
                    </w:rPr>
                  </m:ctrlPr>
                </m:e>
              </m:d>
              <m:ctrlPr>
                <w:rPr>
                  <w:rFonts w:hint="eastAsia" w:ascii="Cambria Math" w:hAnsi="Cambria Math" w:eastAsia="仿宋_GB2312"/>
                  <w:i/>
                  <w:sz w:val="28"/>
                  <w:szCs w:val="28"/>
                </w:rPr>
              </m:ctrlPr>
            </m:e>
          </m:func>
          <m:r>
            <m:rPr/>
            <w:rPr>
              <w:rFonts w:ascii="Cambria Math" w:hAnsi="Cambria Math" w:eastAsia="仿宋_GB2312"/>
              <w:sz w:val="28"/>
              <w:szCs w:val="28"/>
            </w:rPr>
            <m:t>+</m:t>
          </m:r>
          <m:func>
            <m:funcPr>
              <m:ctrlPr>
                <w:rPr>
                  <w:rFonts w:hint="eastAsia" w:ascii="Cambria Math" w:hAnsi="Cambria Math" w:eastAsia="仿宋_GB2312"/>
                  <w:i/>
                  <w:sz w:val="28"/>
                  <w:szCs w:val="28"/>
                </w:rPr>
              </m:ctrlPr>
            </m:funcPr>
            <m:fName>
              <m:r>
                <m:rPr/>
                <w:rPr>
                  <w:rFonts w:ascii="Cambria Math" w:hAnsi="Cambria Math" w:eastAsia="仿宋_GB2312"/>
                  <w:sz w:val="28"/>
                  <w:szCs w:val="28"/>
                </w:rPr>
                <m:t>max</m:t>
              </m:r>
              <m:ctrlPr>
                <w:rPr>
                  <w:rFonts w:hint="eastAsia" w:ascii="Cambria Math" w:hAnsi="Cambria Math" w:eastAsia="仿宋_GB2312"/>
                  <w:i/>
                  <w:sz w:val="28"/>
                  <w:szCs w:val="28"/>
                </w:rPr>
              </m:ctrlPr>
            </m:fName>
            <m:e>
              <m:d>
                <m:dPr>
                  <m:begChr m:val="{"/>
                  <m:endChr m:val="}"/>
                  <m:ctrlPr>
                    <w:rPr>
                      <w:rFonts w:hint="eastAsia" w:ascii="Cambria Math" w:hAnsi="Cambria Math" w:eastAsia="仿宋_GB2312"/>
                      <w:i/>
                      <w:sz w:val="28"/>
                      <w:szCs w:val="28"/>
                    </w:rPr>
                  </m:ctrlPr>
                </m:dPr>
                <m:e>
                  <m:nary>
                    <m:naryPr>
                      <m:chr m:val="∑"/>
                      <m:supHide m:val="1"/>
                      <m:ctrlPr>
                        <w:rPr>
                          <w:rFonts w:hint="eastAsia" w:ascii="Cambria Math" w:hAnsi="Cambria Math" w:eastAsia="仿宋_GB2312"/>
                          <w:i/>
                          <w:sz w:val="28"/>
                          <w:szCs w:val="28"/>
                        </w:rPr>
                      </m:ctrlPr>
                    </m:naryPr>
                    <m:sub>
                      <m:r>
                        <m:rPr/>
                        <w:rPr>
                          <w:rFonts w:ascii="Cambria Math" w:hAnsi="Cambria Math" w:eastAsia="仿宋_GB2312"/>
                          <w:sz w:val="28"/>
                          <w:szCs w:val="28"/>
                        </w:rPr>
                        <m:t>NS∈MA</m:t>
                      </m:r>
                      <m:ctrlPr>
                        <w:rPr>
                          <w:rFonts w:hint="eastAsia" w:ascii="Cambria Math" w:hAnsi="Cambria Math" w:eastAsia="仿宋_GB2312"/>
                          <w:i/>
                          <w:sz w:val="28"/>
                          <w:szCs w:val="28"/>
                        </w:rPr>
                      </m:ctrlPr>
                    </m:sub>
                    <m:sup>
                      <m:ctrlPr>
                        <w:rPr>
                          <w:rFonts w:hint="eastAsia" w:ascii="Cambria Math" w:hAnsi="Cambria Math" w:eastAsia="仿宋_GB2312"/>
                          <w:i/>
                          <w:sz w:val="28"/>
                          <w:szCs w:val="28"/>
                        </w:rPr>
                      </m:ctrlPr>
                    </m:sup>
                    <m:e>
                      <m:func>
                        <m:funcPr>
                          <m:ctrlPr>
                            <w:rPr>
                              <w:rFonts w:hint="eastAsia" w:ascii="Cambria Math" w:hAnsi="Cambria Math" w:eastAsia="仿宋_GB2312"/>
                              <w:i/>
                              <w:sz w:val="28"/>
                              <w:szCs w:val="28"/>
                            </w:rPr>
                          </m:ctrlPr>
                        </m:funcPr>
                        <m:fName>
                          <m:r>
                            <m:rPr/>
                            <w:rPr>
                              <w:rFonts w:ascii="Cambria Math" w:hAnsi="Cambria Math" w:eastAsia="仿宋_GB2312"/>
                              <w:sz w:val="28"/>
                              <w:szCs w:val="28"/>
                            </w:rPr>
                            <m:t>min</m:t>
                          </m:r>
                          <m:ctrlPr>
                            <w:rPr>
                              <w:rFonts w:hint="eastAsia" w:ascii="Cambria Math" w:hAnsi="Cambria Math" w:eastAsia="仿宋_GB2312"/>
                              <w:i/>
                              <w:sz w:val="28"/>
                              <w:szCs w:val="28"/>
                            </w:rPr>
                          </m:ctrlPr>
                        </m:fName>
                        <m:e>
                          <m:d>
                            <m:dPr>
                              <m:begChr m:val="{"/>
                              <m:endChr m:val="}"/>
                              <m:ctrlPr>
                                <w:rPr>
                                  <w:rFonts w:hint="eastAsia" w:ascii="Cambria Math" w:hAnsi="Cambria Math" w:eastAsia="仿宋_GB2312"/>
                                  <w:i/>
                                  <w:sz w:val="28"/>
                                  <w:szCs w:val="28"/>
                                </w:rPr>
                              </m:ctrlPr>
                            </m:dPr>
                            <m:e>
                              <m:sSub>
                                <m:sSubPr>
                                  <m:ctrlPr>
                                    <w:rPr>
                                      <w:rFonts w:hint="eastAsia" w:ascii="Cambria Math" w:hAnsi="Cambria Math" w:eastAsia="仿宋_GB2312"/>
                                      <w:i/>
                                      <w:sz w:val="28"/>
                                      <w:szCs w:val="28"/>
                                    </w:rPr>
                                  </m:ctrlPr>
                                </m:sSubPr>
                                <m:e>
                                  <m:r>
                                    <m:rPr/>
                                    <w:rPr>
                                      <w:rFonts w:ascii="Cambria Math" w:hAnsi="Cambria Math" w:eastAsia="仿宋_GB2312"/>
                                      <w:sz w:val="28"/>
                                      <w:szCs w:val="28"/>
                                    </w:rPr>
                                    <m:t>V</m:t>
                                  </m:r>
                                  <m:ctrlPr>
                                    <w:rPr>
                                      <w:rFonts w:hint="eastAsia" w:ascii="Cambria Math" w:hAnsi="Cambria Math" w:eastAsia="仿宋_GB2312"/>
                                      <w:i/>
                                      <w:sz w:val="28"/>
                                      <w:szCs w:val="28"/>
                                    </w:rPr>
                                  </m:ctrlPr>
                                </m:e>
                                <m:sub>
                                  <m:r>
                                    <m:rPr/>
                                    <w:rPr>
                                      <w:rFonts w:ascii="Cambria Math" w:hAnsi="Cambria Math" w:eastAsia="仿宋_GB2312"/>
                                      <w:sz w:val="28"/>
                                      <w:szCs w:val="28"/>
                                    </w:rPr>
                                    <m:t>NS</m:t>
                                  </m:r>
                                  <m:ctrlPr>
                                    <w:rPr>
                                      <w:rFonts w:hint="eastAsia" w:ascii="Cambria Math" w:hAnsi="Cambria Math" w:eastAsia="仿宋_GB2312"/>
                                      <w:i/>
                                      <w:sz w:val="28"/>
                                      <w:szCs w:val="28"/>
                                    </w:rPr>
                                  </m:ctrlPr>
                                </m:sub>
                              </m:sSub>
                              <m:r>
                                <m:rPr/>
                                <w:rPr>
                                  <w:rFonts w:ascii="Cambria Math" w:hAnsi="Cambria Math" w:eastAsia="仿宋_GB2312"/>
                                  <w:sz w:val="28"/>
                                  <w:szCs w:val="28"/>
                                </w:rPr>
                                <m:t>,0</m:t>
                              </m:r>
                              <m:ctrlPr>
                                <w:rPr>
                                  <w:rFonts w:hint="eastAsia" w:ascii="Cambria Math" w:hAnsi="Cambria Math" w:eastAsia="仿宋_GB2312"/>
                                  <w:i/>
                                  <w:sz w:val="28"/>
                                  <w:szCs w:val="28"/>
                                </w:rPr>
                              </m:ctrlPr>
                            </m:e>
                          </m:d>
                          <m:ctrlPr>
                            <w:rPr>
                              <w:rFonts w:hint="eastAsia" w:ascii="Cambria Math" w:hAnsi="Cambria Math" w:eastAsia="仿宋_GB2312"/>
                              <w:i/>
                              <w:sz w:val="28"/>
                              <w:szCs w:val="28"/>
                            </w:rPr>
                          </m:ctrlPr>
                        </m:e>
                      </m:func>
                      <m:ctrlPr>
                        <w:rPr>
                          <w:rFonts w:hint="eastAsia" w:ascii="Cambria Math" w:hAnsi="Cambria Math" w:eastAsia="仿宋_GB2312"/>
                          <w:i/>
                          <w:sz w:val="28"/>
                          <w:szCs w:val="28"/>
                        </w:rPr>
                      </m:ctrlPr>
                    </m:e>
                  </m:nary>
                  <m:r>
                    <m:rPr/>
                    <w:rPr>
                      <w:rFonts w:ascii="微软雅黑" w:hAnsi="微软雅黑" w:eastAsia="微软雅黑" w:cs="微软雅黑"/>
                      <w:sz w:val="28"/>
                      <w:szCs w:val="28"/>
                    </w:rPr>
                    <m:t>−</m:t>
                  </m:r>
                  <m:func>
                    <m:funcPr>
                      <m:ctrlPr>
                        <w:rPr>
                          <w:rFonts w:hint="eastAsia" w:ascii="Cambria Math" w:hAnsi="Cambria Math" w:eastAsia="仿宋_GB2312"/>
                          <w:i/>
                          <w:sz w:val="28"/>
                          <w:szCs w:val="28"/>
                        </w:rPr>
                      </m:ctrlPr>
                    </m:funcPr>
                    <m:fName>
                      <m:r>
                        <m:rPr/>
                        <w:rPr>
                          <w:rFonts w:ascii="Cambria Math" w:hAnsi="Cambria Math" w:eastAsia="仿宋_GB2312"/>
                          <w:sz w:val="28"/>
                          <w:szCs w:val="28"/>
                        </w:rPr>
                        <m:t>min</m:t>
                      </m:r>
                      <m:ctrlPr>
                        <w:rPr>
                          <w:rFonts w:hint="eastAsia" w:ascii="Cambria Math" w:hAnsi="Cambria Math" w:eastAsia="仿宋_GB2312"/>
                          <w:i/>
                          <w:sz w:val="28"/>
                          <w:szCs w:val="28"/>
                        </w:rPr>
                      </m:ctrlPr>
                    </m:fName>
                    <m:e>
                      <m:d>
                        <m:dPr>
                          <m:begChr m:val="{"/>
                          <m:endChr m:val="}"/>
                          <m:ctrlPr>
                            <w:rPr>
                              <w:rFonts w:hint="eastAsia" w:ascii="Cambria Math" w:hAnsi="Cambria Math" w:eastAsia="仿宋_GB2312"/>
                              <w:i/>
                              <w:sz w:val="28"/>
                              <w:szCs w:val="28"/>
                            </w:rPr>
                          </m:ctrlPr>
                        </m:dPr>
                        <m:e>
                          <m:sSub>
                            <m:sSubPr>
                              <m:ctrlPr>
                                <w:rPr>
                                  <w:rFonts w:hint="eastAsia" w:ascii="Cambria Math" w:hAnsi="Cambria Math" w:eastAsia="仿宋_GB2312"/>
                                  <w:i/>
                                  <w:sz w:val="28"/>
                                  <w:szCs w:val="28"/>
                                </w:rPr>
                              </m:ctrlPr>
                            </m:sSubPr>
                            <m:e>
                              <m:r>
                                <m:rPr/>
                                <w:rPr>
                                  <w:rFonts w:ascii="Cambria Math" w:hAnsi="Cambria Math" w:eastAsia="仿宋_GB2312"/>
                                  <w:sz w:val="28"/>
                                  <w:szCs w:val="28"/>
                                </w:rPr>
                                <m:t>C</m:t>
                              </m:r>
                              <m:ctrlPr>
                                <w:rPr>
                                  <w:rFonts w:hint="eastAsia" w:ascii="Cambria Math" w:hAnsi="Cambria Math" w:eastAsia="仿宋_GB2312"/>
                                  <w:i/>
                                  <w:sz w:val="28"/>
                                  <w:szCs w:val="28"/>
                                </w:rPr>
                              </m:ctrlPr>
                            </m:e>
                            <m:sub>
                              <m:r>
                                <m:rPr/>
                                <w:rPr>
                                  <w:rFonts w:ascii="Cambria Math" w:hAnsi="Cambria Math" w:eastAsia="仿宋_GB2312"/>
                                  <w:sz w:val="28"/>
                                  <w:szCs w:val="28"/>
                                </w:rPr>
                                <m:t>MA</m:t>
                              </m:r>
                              <m:ctrlPr>
                                <w:rPr>
                                  <w:rFonts w:hint="eastAsia" w:ascii="Cambria Math" w:hAnsi="Cambria Math" w:eastAsia="仿宋_GB2312"/>
                                  <w:i/>
                                  <w:sz w:val="28"/>
                                  <w:szCs w:val="28"/>
                                </w:rPr>
                              </m:ctrlPr>
                            </m:sub>
                          </m:sSub>
                          <m:r>
                            <m:rPr/>
                            <w:rPr>
                              <w:rFonts w:ascii="Cambria Math" w:hAnsi="Cambria Math" w:eastAsia="仿宋_GB2312"/>
                              <w:sz w:val="28"/>
                              <w:szCs w:val="28"/>
                            </w:rPr>
                            <m:t>,0</m:t>
                          </m:r>
                          <m:ctrlPr>
                            <w:rPr>
                              <w:rFonts w:hint="eastAsia" w:ascii="Cambria Math" w:hAnsi="Cambria Math" w:eastAsia="仿宋_GB2312"/>
                              <w:i/>
                              <w:sz w:val="28"/>
                              <w:szCs w:val="28"/>
                            </w:rPr>
                          </m:ctrlPr>
                        </m:e>
                      </m:d>
                      <m:ctrlPr>
                        <w:rPr>
                          <w:rFonts w:hint="eastAsia" w:ascii="Cambria Math" w:hAnsi="Cambria Math" w:eastAsia="仿宋_GB2312"/>
                          <w:i/>
                          <w:sz w:val="28"/>
                          <w:szCs w:val="28"/>
                        </w:rPr>
                      </m:ctrlPr>
                    </m:e>
                  </m:func>
                  <m:r>
                    <m:rPr/>
                    <w:rPr>
                      <w:rFonts w:ascii="Cambria Math" w:hAnsi="Cambria Math" w:eastAsia="仿宋_GB2312"/>
                      <w:sz w:val="28"/>
                      <w:szCs w:val="28"/>
                    </w:rPr>
                    <m:t>,0</m:t>
                  </m:r>
                  <m:ctrlPr>
                    <w:rPr>
                      <w:rFonts w:hint="eastAsia" w:ascii="Cambria Math" w:hAnsi="Cambria Math" w:eastAsia="仿宋_GB2312"/>
                      <w:i/>
                      <w:sz w:val="28"/>
                      <w:szCs w:val="28"/>
                    </w:rPr>
                  </m:ctrlPr>
                </m:e>
              </m:d>
              <m:ctrlPr>
                <w:rPr>
                  <w:rFonts w:hint="eastAsia" w:ascii="Cambria Math" w:hAnsi="Cambria Math" w:eastAsia="仿宋_GB2312"/>
                  <w:i/>
                  <w:sz w:val="28"/>
                  <w:szCs w:val="28"/>
                </w:rPr>
              </m:ctrlPr>
            </m:e>
          </m:func>
        </m:oMath>
      </m:oMathPara>
    </w:p>
    <w:p>
      <w:pPr>
        <w:ind w:firstLine="600" w:firstLineChars="200"/>
        <w:jc w:val="left"/>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a.</w:t>
      </w:r>
      <w:r>
        <w:rPr>
          <w:rFonts w:hint="eastAsia" w:ascii="仿宋_GB2312" w:eastAsia="仿宋_GB2312"/>
          <w:position w:val="-6"/>
          <w:sz w:val="30"/>
          <w:szCs w:val="30"/>
        </w:rPr>
        <w:object>
          <v:shape id="_x0000_i1026" o:spt="75" type="#_x0000_t75" style="height:12.65pt;width:52.65pt;" o:ole="t" filled="f" o:preferrelative="t" stroked="f" coordsize="21600,21600">
            <v:path/>
            <v:fill on="f" focussize="0,0"/>
            <v:stroke on="f" joinstyle="miter"/>
            <v:imagedata r:id="rId41" o:title=""/>
            <o:lock v:ext="edit" aspectratio="t"/>
            <w10:wrap type="none"/>
            <w10:anchorlock/>
          </v:shape>
          <o:OLEObject Type="Embed" ProgID="Equation.DSMT4" ShapeID="_x0000_i1026" DrawAspect="Content" ObjectID="_1468075726" r:id="rId40">
            <o:LockedField>false</o:LockedField>
          </o:OLEObject>
        </w:object>
      </w:r>
      <w:r>
        <w:rPr>
          <w:rFonts w:hint="eastAsia" w:ascii="仿宋_GB2312" w:hAnsi="Times New Roman" w:eastAsia="仿宋_GB2312" w:cs="Times New Roman"/>
          <w:bCs/>
          <w:sz w:val="30"/>
          <w:szCs w:val="30"/>
        </w:rPr>
        <w:t>指该保证金协议下的所有净额结算组合。</w:t>
      </w:r>
    </w:p>
    <w:p>
      <w:pPr>
        <w:spacing w:line="480" w:lineRule="exact"/>
        <w:ind w:firstLine="600" w:firstLineChars="200"/>
        <w:rPr>
          <w:rFonts w:ascii="仿宋_GB2312" w:hAnsi="Times New Roman" w:eastAsia="仿宋_GB2312" w:cs="Times New Roman"/>
          <w:bCs/>
          <w:sz w:val="30"/>
          <w:szCs w:val="30"/>
        </w:rPr>
      </w:pPr>
      <w:r>
        <w:rPr>
          <w:rFonts w:ascii="仿宋_GB2312" w:eastAsia="仿宋_GB2312"/>
          <w:sz w:val="30"/>
          <w:szCs w:val="30"/>
        </w:rPr>
        <w:t>b.</w:t>
      </w:r>
      <w:r>
        <w:rPr>
          <w:rFonts w:hint="eastAsia" w:ascii="仿宋_GB2312" w:eastAsia="仿宋_GB2312"/>
          <w:position w:val="-12"/>
          <w:sz w:val="30"/>
          <w:szCs w:val="30"/>
        </w:rPr>
        <w:object>
          <v:shape id="_x0000_i1027" o:spt="75" type="#_x0000_t75" style="height:18.65pt;width:20pt;" o:ole="t" filled="f" o:preferrelative="t" stroked="f" coordsize="21600,21600">
            <v:path/>
            <v:fill on="f" focussize="0,0"/>
            <v:stroke on="f" joinstyle="miter"/>
            <v:imagedata r:id="rId43" o:title=""/>
            <o:lock v:ext="edit" aspectratio="t"/>
            <w10:wrap type="none"/>
            <w10:anchorlock/>
          </v:shape>
          <o:OLEObject Type="Embed" ProgID="Equation.DSMT4" ShapeID="_x0000_i1027" DrawAspect="Content" ObjectID="_1468075727" r:id="rId42">
            <o:LockedField>false</o:LockedField>
          </o:OLEObject>
        </w:object>
      </w:r>
      <w:r>
        <w:rPr>
          <w:rFonts w:hint="eastAsia" w:ascii="仿宋_GB2312" w:hAnsi="Times New Roman" w:eastAsia="仿宋_GB2312" w:cs="Times New Roman"/>
          <w:bCs/>
          <w:sz w:val="30"/>
          <w:szCs w:val="30"/>
        </w:rPr>
        <w:t>为单个净额结算组合下衍生工具的盯市价值。</w:t>
      </w:r>
    </w:p>
    <w:p>
      <w:pPr>
        <w:spacing w:line="480" w:lineRule="exact"/>
        <w:ind w:firstLine="600" w:firstLineChars="200"/>
        <w:rPr>
          <w:rFonts w:ascii="仿宋_GB2312" w:hAnsi="Times New Roman" w:eastAsia="仿宋_GB2312" w:cs="Times New Roman"/>
          <w:bCs/>
          <w:sz w:val="30"/>
          <w:szCs w:val="30"/>
        </w:rPr>
      </w:pPr>
      <w:r>
        <w:rPr>
          <w:rFonts w:ascii="仿宋_GB2312" w:eastAsia="仿宋_GB2312"/>
          <w:sz w:val="30"/>
          <w:szCs w:val="30"/>
        </w:rPr>
        <w:t>c.</w:t>
      </w:r>
      <w:r>
        <w:rPr>
          <w:rFonts w:hint="eastAsia" w:ascii="仿宋_GB2312" w:eastAsia="仿宋_GB2312"/>
          <w:position w:val="-12"/>
          <w:sz w:val="30"/>
          <w:szCs w:val="30"/>
        </w:rPr>
        <w:object>
          <v:shape id="_x0000_i1028" o:spt="75" type="#_x0000_t75" style="height:18.65pt;width:22.65pt;" o:ole="t" filled="f" o:preferrelative="t" stroked="f" coordsize="21600,21600">
            <v:path/>
            <v:fill on="f" focussize="0,0"/>
            <v:stroke on="f" joinstyle="miter"/>
            <v:imagedata r:id="rId45" o:title=""/>
            <o:lock v:ext="edit" aspectratio="t"/>
            <w10:wrap type="none"/>
            <w10:anchorlock/>
          </v:shape>
          <o:OLEObject Type="Embed" ProgID="Equation.DSMT4" ShapeID="_x0000_i1028" DrawAspect="Content" ObjectID="_1468075728" r:id="rId44">
            <o:LockedField>false</o:LockedField>
          </o:OLEObject>
        </w:object>
      </w:r>
      <w:r>
        <w:rPr>
          <w:rFonts w:hint="eastAsia" w:ascii="仿宋_GB2312" w:hAnsi="Times New Roman" w:eastAsia="仿宋_GB2312" w:cs="Times New Roman"/>
          <w:bCs/>
          <w:sz w:val="30"/>
          <w:szCs w:val="30"/>
        </w:rPr>
        <w:t>为该保证金协议下银行持有的所有抵质押品净额（收到的抵质押品扣除提交的抵质押品）经折扣调整后的价值，不包括银行向独立的破产隔离账户提交的抵质押品。</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潜在风险暴露计算公式如下：</w:t>
      </w:r>
    </w:p>
    <w:p>
      <w:pPr>
        <w:spacing w:after="156" w:afterLines="50"/>
        <w:jc w:val="center"/>
        <w:rPr>
          <w:rFonts w:ascii="仿宋_GB2312" w:hAnsi="Calibri" w:eastAsia="仿宋_GB2312" w:cs="Times New Roman"/>
          <w:position w:val="-28"/>
          <w:sz w:val="30"/>
          <w:szCs w:val="30"/>
        </w:rPr>
      </w:pPr>
      <w:r>
        <w:rPr>
          <w:rFonts w:hint="eastAsia" w:ascii="仿宋_GB2312" w:hAnsi="Calibri" w:eastAsia="仿宋_GB2312" w:cs="Times New Roman"/>
          <w:position w:val="-28"/>
          <w:sz w:val="30"/>
          <w:szCs w:val="30"/>
        </w:rPr>
        <w:object>
          <v:shape id="_x0000_i1029" o:spt="75" type="#_x0000_t75" style="height:27.35pt;width:148pt;" o:ole="t" filled="f" o:preferrelative="t" stroked="f" coordsize="21600,21600">
            <v:path/>
            <v:fill on="f" focussize="0,0"/>
            <v:stroke on="f" joinstyle="miter"/>
            <v:imagedata r:id="rId47" o:title=""/>
            <o:lock v:ext="edit" aspectratio="t"/>
            <w10:wrap type="none"/>
            <w10:anchorlock/>
          </v:shape>
          <o:OLEObject Type="Embed" ProgID="Equation.DSMT4" ShapeID="_x0000_i1029" DrawAspect="Content" ObjectID="_1468075729" r:id="rId46">
            <o:LockedField>false</o:LockedField>
          </o:OLEObject>
        </w:objec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a</w:t>
      </w:r>
      <w:r>
        <w:rPr>
          <w:rFonts w:ascii="仿宋_GB2312" w:hAnsi="Times New Roman" w:eastAsia="仿宋_GB2312" w:cs="Times New Roman"/>
          <w:bCs/>
          <w:sz w:val="30"/>
          <w:szCs w:val="30"/>
        </w:rPr>
        <w:t>.</w:t>
      </w:r>
      <w:r>
        <w:rPr>
          <w:rFonts w:hint="eastAsia" w:ascii="仿宋_GB2312" w:hAnsi="Times New Roman" w:eastAsia="仿宋_GB2312" w:cs="Times New Roman"/>
          <w:bCs/>
          <w:sz w:val="30"/>
          <w:szCs w:val="30"/>
        </w:rPr>
        <w:t>单个净额结算组合均应视为无保证金交易计算潜在风险暴露。</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b</w:t>
      </w:r>
      <w:r>
        <w:rPr>
          <w:rFonts w:ascii="仿宋_GB2312" w:hAnsi="Times New Roman" w:eastAsia="仿宋_GB2312" w:cs="Times New Roman"/>
          <w:bCs/>
          <w:sz w:val="30"/>
          <w:szCs w:val="30"/>
        </w:rPr>
        <w:t>.</w:t>
      </w:r>
      <w:r>
        <w:rPr>
          <w:rFonts w:hint="eastAsia" w:ascii="仿宋_GB2312" w:hAnsi="Times New Roman" w:eastAsia="仿宋_GB2312" w:cs="Times New Roman"/>
          <w:bCs/>
          <w:sz w:val="30"/>
          <w:szCs w:val="30"/>
        </w:rPr>
        <w:t>在计算乘数因子时，应考虑变动保证金在不同净额结算组合之间的分配。当银行是保证金的净收取方，应将保证金优先分配给盯市价值大于零的净额结算组合，分配数额不应高于单个净额结算组合的盯市价值，且不应为负数；当银行是保证金的净支付方，应将保证金优先分配给盯市价值小于零的净额结算组合，分配金额不应低于单个净额结算组合的盯市价值，且不应为正数。除以上要求之外，银行有权自行决定保证金的分配。</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（七）违约风险暴露现期风险暴露法</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1.违约风险暴露计算规则如下：</w:t>
      </w:r>
    </w:p>
    <w:p>
      <w:pPr>
        <w:spacing w:after="156" w:afterLines="50" w:line="480" w:lineRule="exact"/>
        <w:ind w:firstLine="600" w:firstLineChars="200"/>
        <w:jc w:val="center"/>
        <w:rPr>
          <w:rFonts w:ascii="仿宋_GB2312" w:hAnsi="Calibri" w:eastAsia="仿宋_GB2312" w:cs="Times New Roman"/>
          <w:position w:val="-6"/>
          <w:sz w:val="30"/>
          <w:szCs w:val="30"/>
        </w:rPr>
      </w:pPr>
      <w:r>
        <w:rPr>
          <w:rFonts w:hint="eastAsia" w:ascii="仿宋_GB2312" w:hAnsi="Calibri" w:eastAsia="仿宋_GB2312" w:cs="Times New Roman"/>
          <w:position w:val="-6"/>
          <w:sz w:val="30"/>
          <w:szCs w:val="30"/>
        </w:rPr>
        <w:object>
          <v:shape id="_x0000_i1030" o:spt="75" type="#_x0000_t75" style="height:16pt;width:124.65pt;" o:ole="t" filled="f" o:preferrelative="t" stroked="f" coordsize="21600,21600">
            <v:path/>
            <v:fill on="f" focussize="0,0"/>
            <v:stroke on="f" joinstyle="miter"/>
            <v:imagedata r:id="rId49" o:title=""/>
            <o:lock v:ext="edit" aspectratio="t"/>
            <w10:wrap type="none"/>
            <w10:anchorlock/>
          </v:shape>
          <o:OLEObject Type="Embed" ProgID="Equation.DSMT4" ShapeID="_x0000_i1030" DrawAspect="Content" ObjectID="_1468075730" r:id="rId48">
            <o:LockedField>false</o:LockedField>
          </o:OLEObject>
        </w:objec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（1）MTM为按盯市价值计算的重置成本与0之间的较大者。</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（2）Add-on为反映剩余期限内潜在风险暴露的附加因子。</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（3）潜在风险暴露的附加因子（Add-on）等于衍生工具的名义本金乘以相应的附加系数。</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2.信用衍生工具的附加系数见表4。</w:t>
      </w:r>
    </w:p>
    <w:p>
      <w:pPr>
        <w:widowControl/>
        <w:spacing w:line="480" w:lineRule="exact"/>
        <w:ind w:firstLine="562" w:firstLineChars="200"/>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表</w:t>
      </w:r>
      <w:r>
        <w:rPr>
          <w:rFonts w:hint="eastAsia" w:ascii="仿宋_GB2312" w:hAnsi="Times New Roman" w:eastAsia="仿宋_GB2312" w:cs="Times New Roman"/>
          <w:b/>
          <w:sz w:val="28"/>
          <w:szCs w:val="28"/>
        </w:rPr>
        <w:t xml:space="preserve">4 </w:t>
      </w:r>
      <w:r>
        <w:rPr>
          <w:rFonts w:ascii="Times New Roman" w:hAnsi="Times New Roman" w:eastAsia="楷体_GB2312" w:cs="Times New Roman"/>
          <w:b/>
          <w:sz w:val="28"/>
          <w:szCs w:val="28"/>
        </w:rPr>
        <w:t>信用衍生工具的附加系数</w:t>
      </w:r>
    </w:p>
    <w:tbl>
      <w:tblPr>
        <w:tblStyle w:val="1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1985"/>
        <w:gridCol w:w="173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2812" w:type="dxa"/>
            <w:vAlign w:val="center"/>
          </w:tcPr>
          <w:p>
            <w:pPr>
              <w:widowControl/>
              <w:jc w:val="center"/>
              <w:rPr>
                <w:rFonts w:ascii="宋体" w:hAnsi="宋体" w:eastAsia="宋体" w:cs="Times New Roman"/>
                <w:b/>
                <w:bCs/>
                <w:kern w:val="0"/>
                <w:sz w:val="24"/>
                <w:szCs w:val="24"/>
              </w:rPr>
            </w:pPr>
            <w:r>
              <w:rPr>
                <w:rFonts w:ascii="宋体" w:hAnsi="宋体" w:eastAsia="宋体" w:cs="Times New Roman"/>
                <w:b/>
                <w:bCs/>
                <w:kern w:val="0"/>
                <w:sz w:val="24"/>
                <w:szCs w:val="24"/>
              </w:rPr>
              <w:t>类型</w:t>
            </w:r>
          </w:p>
        </w:tc>
        <w:tc>
          <w:tcPr>
            <w:tcW w:w="1985" w:type="dxa"/>
            <w:vAlign w:val="center"/>
          </w:tcPr>
          <w:p>
            <w:pPr>
              <w:widowControl/>
              <w:jc w:val="center"/>
              <w:rPr>
                <w:rFonts w:ascii="宋体" w:hAnsi="宋体" w:eastAsia="宋体" w:cs="Times New Roman"/>
                <w:b/>
                <w:bCs/>
                <w:kern w:val="0"/>
                <w:sz w:val="24"/>
                <w:szCs w:val="24"/>
              </w:rPr>
            </w:pPr>
            <w:r>
              <w:rPr>
                <w:rFonts w:ascii="宋体" w:hAnsi="宋体" w:eastAsia="宋体" w:cs="Times New Roman"/>
                <w:b/>
                <w:bCs/>
                <w:kern w:val="0"/>
                <w:sz w:val="24"/>
                <w:szCs w:val="24"/>
              </w:rPr>
              <w:t>参照资产</w:t>
            </w:r>
          </w:p>
        </w:tc>
        <w:tc>
          <w:tcPr>
            <w:tcW w:w="1730" w:type="dxa"/>
            <w:vAlign w:val="center"/>
          </w:tcPr>
          <w:p>
            <w:pPr>
              <w:widowControl/>
              <w:jc w:val="center"/>
              <w:rPr>
                <w:rFonts w:ascii="宋体" w:hAnsi="宋体" w:eastAsia="宋体" w:cs="Times New Roman"/>
                <w:b/>
                <w:bCs/>
                <w:kern w:val="0"/>
                <w:sz w:val="24"/>
                <w:szCs w:val="24"/>
              </w:rPr>
            </w:pPr>
            <w:r>
              <w:rPr>
                <w:rFonts w:ascii="宋体" w:hAnsi="宋体" w:eastAsia="宋体" w:cs="Times New Roman"/>
                <w:b/>
                <w:bCs/>
                <w:kern w:val="0"/>
                <w:sz w:val="24"/>
                <w:szCs w:val="24"/>
              </w:rPr>
              <w:t>信用保护买方（％）</w:t>
            </w:r>
          </w:p>
        </w:tc>
        <w:tc>
          <w:tcPr>
            <w:tcW w:w="1701" w:type="dxa"/>
            <w:vAlign w:val="center"/>
          </w:tcPr>
          <w:p>
            <w:pPr>
              <w:widowControl/>
              <w:jc w:val="center"/>
              <w:rPr>
                <w:rFonts w:ascii="宋体" w:hAnsi="宋体" w:eastAsia="宋体" w:cs="Times New Roman"/>
                <w:b/>
                <w:bCs/>
                <w:kern w:val="0"/>
                <w:sz w:val="24"/>
                <w:szCs w:val="24"/>
              </w:rPr>
            </w:pPr>
            <w:r>
              <w:rPr>
                <w:rFonts w:ascii="宋体" w:hAnsi="宋体" w:eastAsia="宋体" w:cs="Times New Roman"/>
                <w:b/>
                <w:bCs/>
                <w:kern w:val="0"/>
                <w:sz w:val="24"/>
                <w:szCs w:val="24"/>
              </w:rPr>
              <w:t>信用保护卖方（％）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812" w:type="dxa"/>
            <w:vMerge w:val="restart"/>
            <w:vAlign w:val="center"/>
          </w:tcPr>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具有</w:t>
            </w:r>
            <w:r>
              <w:rPr>
                <w:rFonts w:ascii="宋体" w:hAnsi="宋体" w:eastAsia="宋体" w:cs="Times New Roman"/>
                <w:kern w:val="0"/>
                <w:sz w:val="24"/>
                <w:szCs w:val="24"/>
              </w:rPr>
              <w:t>总收益互换</w:t>
            </w:r>
            <w:r>
              <w:rPr>
                <w:rFonts w:hint="eastAsia" w:ascii="宋体" w:hAnsi="宋体" w:eastAsia="宋体" w:cs="Times New Roman"/>
                <w:kern w:val="0"/>
                <w:sz w:val="24"/>
                <w:szCs w:val="24"/>
              </w:rPr>
              <w:t>功能的信用衍生工具</w:t>
            </w:r>
          </w:p>
        </w:tc>
        <w:tc>
          <w:tcPr>
            <w:tcW w:w="1985"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合格参照资产</w:t>
            </w:r>
          </w:p>
        </w:tc>
        <w:tc>
          <w:tcPr>
            <w:tcW w:w="1730"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5</w:t>
            </w:r>
          </w:p>
        </w:tc>
        <w:tc>
          <w:tcPr>
            <w:tcW w:w="1701"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812" w:type="dxa"/>
            <w:vMerge w:val="continue"/>
            <w:vAlign w:val="center"/>
          </w:tcPr>
          <w:p>
            <w:pPr>
              <w:widowControl/>
              <w:ind w:firstLine="480" w:firstLineChars="200"/>
              <w:jc w:val="left"/>
              <w:rPr>
                <w:rFonts w:ascii="宋体" w:hAnsi="宋体" w:eastAsia="宋体" w:cs="Times New Roman"/>
                <w:kern w:val="0"/>
                <w:sz w:val="24"/>
                <w:szCs w:val="24"/>
              </w:rPr>
            </w:pPr>
          </w:p>
        </w:tc>
        <w:tc>
          <w:tcPr>
            <w:tcW w:w="1985"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不合格参照资产</w:t>
            </w:r>
          </w:p>
        </w:tc>
        <w:tc>
          <w:tcPr>
            <w:tcW w:w="1730"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10</w:t>
            </w:r>
          </w:p>
        </w:tc>
        <w:tc>
          <w:tcPr>
            <w:tcW w:w="1701"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812" w:type="dxa"/>
            <w:vMerge w:val="restart"/>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信用违约互换</w:t>
            </w:r>
            <w:r>
              <w:rPr>
                <w:rFonts w:hint="eastAsia" w:ascii="宋体" w:hAnsi="宋体" w:eastAsia="宋体" w:cs="Times New Roman"/>
                <w:kern w:val="0"/>
                <w:sz w:val="24"/>
                <w:szCs w:val="24"/>
              </w:rPr>
              <w:t>、信用违约互换指数、信用风险缓释凭证、信用保护合约、信用保护凭证等具有上述产品功能的信用衍生工具</w:t>
            </w:r>
          </w:p>
        </w:tc>
        <w:tc>
          <w:tcPr>
            <w:tcW w:w="1985"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合格参照资产</w:t>
            </w:r>
          </w:p>
        </w:tc>
        <w:tc>
          <w:tcPr>
            <w:tcW w:w="1730"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5</w:t>
            </w:r>
          </w:p>
        </w:tc>
        <w:tc>
          <w:tcPr>
            <w:tcW w:w="1701"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812" w:type="dxa"/>
            <w:vMerge w:val="continue"/>
            <w:vAlign w:val="center"/>
          </w:tcPr>
          <w:p>
            <w:pPr>
              <w:widowControl/>
              <w:ind w:firstLine="480" w:firstLineChars="200"/>
              <w:jc w:val="center"/>
              <w:rPr>
                <w:rFonts w:ascii="宋体" w:hAnsi="宋体" w:eastAsia="宋体" w:cs="Times New Roman"/>
                <w:kern w:val="0"/>
                <w:sz w:val="24"/>
                <w:szCs w:val="24"/>
              </w:rPr>
            </w:pPr>
          </w:p>
        </w:tc>
        <w:tc>
          <w:tcPr>
            <w:tcW w:w="1985"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不合格参照资产</w:t>
            </w:r>
          </w:p>
        </w:tc>
        <w:tc>
          <w:tcPr>
            <w:tcW w:w="1730"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10</w:t>
            </w:r>
          </w:p>
        </w:tc>
        <w:tc>
          <w:tcPr>
            <w:tcW w:w="1701"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10</w:t>
            </w:r>
          </w:p>
        </w:tc>
      </w:tr>
    </w:tbl>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（1）合格参照资产包括我国中央政府、中国人民银行、开发性金融机构和政策性银行发行的债券，以及本办法附件16所规定的政府证券和合格证券。</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（2）信用违约互换的信用保护卖方只有在参照资产的发行人尚能履约但信用保护买方破产的情况下才需计算附加因子，且以信用保护买方尚未支付的费用为上限。</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3）在信用衍生工具的参照资产由多项资产构成的情况下，如果参照资产组中第一项参照资产违约即算做整体违约，附加系数由参照资产组中信用质量最低的参照资产决定；如果参照资产组中第二项参照资产违约才算整体违约，则附加系数由信用质量次低的参照资产决定，依此类推。</w:t>
      </w:r>
    </w:p>
    <w:p>
      <w:pPr>
        <w:spacing w:line="480" w:lineRule="exact"/>
        <w:ind w:firstLine="600" w:firstLineChars="200"/>
        <w:rPr>
          <w:rFonts w:ascii="Times New Roman" w:hAnsi="Times New Roman" w:eastAsia="仿宋_GB2312" w:cs="Times New Roman"/>
          <w:bCs/>
          <w:sz w:val="30"/>
          <w:szCs w:val="30"/>
        </w:rPr>
      </w:pPr>
      <w:r>
        <w:rPr>
          <w:rFonts w:hint="eastAsia" w:ascii="仿宋_GB2312" w:hAnsi="Times New Roman" w:eastAsia="仿宋_GB2312" w:cs="Times New Roman"/>
          <w:bCs/>
          <w:sz w:val="30"/>
          <w:szCs w:val="30"/>
        </w:rPr>
        <w:t>3.除信用衍生工具外，其他衍生工具的附加系数见表5。</w:t>
      </w:r>
    </w:p>
    <w:p>
      <w:pPr>
        <w:widowControl/>
        <w:spacing w:line="480" w:lineRule="exact"/>
        <w:ind w:firstLine="562" w:firstLineChars="200"/>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表</w:t>
      </w:r>
      <w:r>
        <w:rPr>
          <w:rFonts w:hint="eastAsia" w:ascii="楷体_GB2312" w:hAnsi="Times New Roman" w:eastAsia="楷体_GB2312" w:cs="Times New Roman"/>
          <w:b/>
          <w:sz w:val="28"/>
          <w:szCs w:val="28"/>
        </w:rPr>
        <w:t>5</w:t>
      </w:r>
      <w:r>
        <w:rPr>
          <w:rFonts w:ascii="Times New Roman" w:hAnsi="Times New Roman" w:eastAsia="楷体_GB2312" w:cs="Times New Roman"/>
          <w:b/>
          <w:sz w:val="28"/>
          <w:szCs w:val="28"/>
        </w:rPr>
        <w:t xml:space="preserve"> </w:t>
      </w:r>
      <w:r>
        <w:rPr>
          <w:rFonts w:hint="eastAsia" w:ascii="Times New Roman" w:hAnsi="Times New Roman" w:eastAsia="楷体_GB2312" w:cs="Times New Roman"/>
          <w:b/>
          <w:sz w:val="28"/>
          <w:szCs w:val="28"/>
        </w:rPr>
        <w:t xml:space="preserve"> </w:t>
      </w:r>
      <w:r>
        <w:rPr>
          <w:rFonts w:ascii="Times New Roman" w:hAnsi="Times New Roman" w:eastAsia="楷体_GB2312" w:cs="Times New Roman"/>
          <w:b/>
          <w:sz w:val="28"/>
          <w:szCs w:val="28"/>
        </w:rPr>
        <w:t>各类其他衍生工具的附加系数</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1530"/>
        <w:gridCol w:w="1501"/>
        <w:gridCol w:w="155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Align w:val="center"/>
          </w:tcPr>
          <w:p>
            <w:pPr>
              <w:widowControl/>
              <w:jc w:val="center"/>
              <w:rPr>
                <w:rFonts w:ascii="宋体" w:hAnsi="宋体" w:eastAsia="宋体" w:cs="Times New Roman"/>
                <w:b/>
                <w:bCs/>
                <w:kern w:val="0"/>
                <w:sz w:val="24"/>
                <w:szCs w:val="24"/>
              </w:rPr>
            </w:pPr>
            <w:r>
              <w:rPr>
                <w:rFonts w:ascii="宋体" w:hAnsi="宋体" w:eastAsia="宋体" w:cs="Times New Roman"/>
                <w:b/>
                <w:bCs/>
                <w:kern w:val="0"/>
                <w:sz w:val="24"/>
                <w:szCs w:val="24"/>
              </w:rPr>
              <w:t>剩余期限</w:t>
            </w:r>
          </w:p>
        </w:tc>
        <w:tc>
          <w:tcPr>
            <w:tcW w:w="1530" w:type="dxa"/>
            <w:vAlign w:val="center"/>
          </w:tcPr>
          <w:p>
            <w:pPr>
              <w:pStyle w:val="20"/>
              <w:keepNext/>
              <w:spacing w:after="0"/>
              <w:jc w:val="center"/>
              <w:rPr>
                <w:rFonts w:ascii="宋体" w:hAnsi="宋体"/>
                <w:b/>
                <w:bCs/>
                <w:sz w:val="24"/>
                <w:szCs w:val="24"/>
                <w:lang w:val="en-US"/>
              </w:rPr>
            </w:pPr>
            <w:r>
              <w:rPr>
                <w:rFonts w:ascii="宋体" w:hAnsi="宋体"/>
                <w:b/>
                <w:bCs/>
                <w:sz w:val="24"/>
                <w:szCs w:val="24"/>
                <w:lang w:val="en-US"/>
              </w:rPr>
              <w:t>利率（％）</w:t>
            </w:r>
          </w:p>
        </w:tc>
        <w:tc>
          <w:tcPr>
            <w:tcW w:w="1530" w:type="dxa"/>
            <w:vAlign w:val="center"/>
          </w:tcPr>
          <w:p>
            <w:pPr>
              <w:pStyle w:val="20"/>
              <w:keepNext/>
              <w:spacing w:after="0"/>
              <w:jc w:val="center"/>
              <w:rPr>
                <w:rFonts w:ascii="宋体" w:hAnsi="宋体"/>
                <w:b/>
                <w:bCs/>
                <w:sz w:val="24"/>
                <w:szCs w:val="24"/>
                <w:lang w:val="en-US"/>
              </w:rPr>
            </w:pPr>
            <w:r>
              <w:rPr>
                <w:rFonts w:ascii="宋体" w:hAnsi="宋体"/>
                <w:b/>
                <w:bCs/>
                <w:sz w:val="24"/>
                <w:szCs w:val="24"/>
                <w:lang w:val="en-US"/>
              </w:rPr>
              <w:t>汇率和黄金（％）</w:t>
            </w:r>
          </w:p>
        </w:tc>
        <w:tc>
          <w:tcPr>
            <w:tcW w:w="1501" w:type="dxa"/>
            <w:vAlign w:val="center"/>
          </w:tcPr>
          <w:p>
            <w:pPr>
              <w:pStyle w:val="20"/>
              <w:keepNext/>
              <w:spacing w:after="0"/>
              <w:jc w:val="center"/>
              <w:rPr>
                <w:rFonts w:ascii="宋体" w:hAnsi="宋体"/>
                <w:b/>
                <w:bCs/>
                <w:sz w:val="24"/>
                <w:szCs w:val="24"/>
                <w:lang w:val="en-US"/>
              </w:rPr>
            </w:pPr>
            <w:r>
              <w:rPr>
                <w:rFonts w:ascii="宋体" w:hAnsi="宋体"/>
                <w:b/>
                <w:bCs/>
                <w:sz w:val="24"/>
                <w:szCs w:val="24"/>
                <w:lang w:val="en-US"/>
              </w:rPr>
              <w:t>股票（％）</w:t>
            </w:r>
          </w:p>
        </w:tc>
        <w:tc>
          <w:tcPr>
            <w:tcW w:w="1559" w:type="dxa"/>
            <w:vAlign w:val="center"/>
          </w:tcPr>
          <w:p>
            <w:pPr>
              <w:pStyle w:val="20"/>
              <w:keepNext/>
              <w:spacing w:after="0"/>
              <w:jc w:val="center"/>
              <w:rPr>
                <w:rFonts w:ascii="宋体" w:hAnsi="宋体"/>
                <w:b/>
                <w:bCs/>
                <w:sz w:val="24"/>
                <w:szCs w:val="24"/>
                <w:lang w:val="en-US"/>
              </w:rPr>
            </w:pPr>
            <w:r>
              <w:rPr>
                <w:rFonts w:ascii="宋体" w:hAnsi="宋体"/>
                <w:b/>
                <w:bCs/>
                <w:sz w:val="24"/>
                <w:szCs w:val="24"/>
                <w:lang w:val="en-US"/>
              </w:rPr>
              <w:t>黄金以外的贵金属（％）</w:t>
            </w:r>
          </w:p>
        </w:tc>
        <w:tc>
          <w:tcPr>
            <w:tcW w:w="1530" w:type="dxa"/>
            <w:vAlign w:val="center"/>
          </w:tcPr>
          <w:p>
            <w:pPr>
              <w:pStyle w:val="20"/>
              <w:keepNext/>
              <w:spacing w:after="0"/>
              <w:jc w:val="center"/>
              <w:rPr>
                <w:rFonts w:ascii="宋体" w:hAnsi="宋体"/>
                <w:b/>
                <w:bCs/>
                <w:sz w:val="24"/>
                <w:szCs w:val="24"/>
                <w:lang w:val="en-US"/>
              </w:rPr>
            </w:pPr>
            <w:r>
              <w:rPr>
                <w:rFonts w:ascii="宋体" w:hAnsi="宋体"/>
                <w:b/>
                <w:bCs/>
                <w:sz w:val="24"/>
                <w:szCs w:val="24"/>
                <w:lang w:val="en-US"/>
              </w:rPr>
              <w:t>其</w:t>
            </w:r>
            <w:r>
              <w:rPr>
                <w:rFonts w:hint="eastAsia" w:ascii="宋体" w:hAnsi="宋体"/>
                <w:b/>
                <w:bCs/>
                <w:sz w:val="24"/>
                <w:szCs w:val="24"/>
                <w:lang w:val="en-US"/>
              </w:rPr>
              <w:t>他</w:t>
            </w:r>
            <w:r>
              <w:rPr>
                <w:rFonts w:ascii="宋体" w:hAnsi="宋体"/>
                <w:b/>
                <w:bCs/>
                <w:sz w:val="24"/>
                <w:szCs w:val="24"/>
                <w:lang w:val="en-US"/>
              </w:rPr>
              <w:t>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不超过1年</w:t>
            </w:r>
          </w:p>
        </w:tc>
        <w:tc>
          <w:tcPr>
            <w:tcW w:w="1530"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0.0</w:t>
            </w:r>
          </w:p>
        </w:tc>
        <w:tc>
          <w:tcPr>
            <w:tcW w:w="1530"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1.0</w:t>
            </w:r>
          </w:p>
        </w:tc>
        <w:tc>
          <w:tcPr>
            <w:tcW w:w="1501"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6.0</w:t>
            </w:r>
          </w:p>
        </w:tc>
        <w:tc>
          <w:tcPr>
            <w:tcW w:w="1559"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7.0</w:t>
            </w:r>
          </w:p>
        </w:tc>
        <w:tc>
          <w:tcPr>
            <w:tcW w:w="1530"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1年以上，不超过5年</w:t>
            </w:r>
          </w:p>
        </w:tc>
        <w:tc>
          <w:tcPr>
            <w:tcW w:w="1530"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0.5</w:t>
            </w:r>
          </w:p>
        </w:tc>
        <w:tc>
          <w:tcPr>
            <w:tcW w:w="1530"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5.0</w:t>
            </w:r>
          </w:p>
        </w:tc>
        <w:tc>
          <w:tcPr>
            <w:tcW w:w="1501"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8.0</w:t>
            </w:r>
          </w:p>
        </w:tc>
        <w:tc>
          <w:tcPr>
            <w:tcW w:w="1559"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7.0</w:t>
            </w:r>
          </w:p>
        </w:tc>
        <w:tc>
          <w:tcPr>
            <w:tcW w:w="1530"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5年以上</w:t>
            </w:r>
          </w:p>
        </w:tc>
        <w:tc>
          <w:tcPr>
            <w:tcW w:w="1530"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1.5</w:t>
            </w:r>
          </w:p>
        </w:tc>
        <w:tc>
          <w:tcPr>
            <w:tcW w:w="1530"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7.5</w:t>
            </w:r>
          </w:p>
        </w:tc>
        <w:tc>
          <w:tcPr>
            <w:tcW w:w="1501"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10.0</w:t>
            </w:r>
          </w:p>
        </w:tc>
        <w:tc>
          <w:tcPr>
            <w:tcW w:w="1559"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8.0</w:t>
            </w:r>
          </w:p>
        </w:tc>
        <w:tc>
          <w:tcPr>
            <w:tcW w:w="1530" w:type="dxa"/>
            <w:vAlign w:val="center"/>
          </w:tcPr>
          <w:p>
            <w:pPr>
              <w:widowControl/>
              <w:ind w:firstLine="480" w:firstLineChars="200"/>
              <w:rPr>
                <w:rFonts w:ascii="宋体" w:hAnsi="宋体" w:eastAsia="宋体" w:cs="Times New Roman"/>
                <w:kern w:val="0"/>
                <w:sz w:val="24"/>
                <w:szCs w:val="24"/>
              </w:rPr>
            </w:pPr>
            <w:r>
              <w:rPr>
                <w:rFonts w:ascii="宋体" w:hAnsi="宋体" w:eastAsia="宋体" w:cs="Times New Roman"/>
                <w:kern w:val="0"/>
                <w:sz w:val="24"/>
                <w:szCs w:val="24"/>
              </w:rPr>
              <w:t>15.0</w:t>
            </w:r>
          </w:p>
        </w:tc>
      </w:tr>
    </w:tbl>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4.商业银行为对冲银行账簿信用风险或交易对手信用风险而购买的合格信用衍生工具，若在信用框架下已考虑风险缓释作用并足额计提风险加权资产，可认为违约风险暴露为0，其中，合格信用衍生工具应符合本办法附件3第四部分的标准。</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5.若商业银行将销售的信用违约互换划入银行账簿，并且将其当作保证来计算信用风险加权资产，计算交易对手违约风险加权资产时该信用违约互换的违约风险暴露为0。</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6.衍生工具交易符合本附件第二部分（五）净额结算要求的，商业银行可按照以下方法计算违约风险暴露：</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（1）交易对手的净违约风险暴露为当前风险暴露净额与潜在风险暴露净额之和。</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（2）当前风险暴露净额为净盯市重置成本与0之间的较大值。</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（3）潜在风险暴露净额，由下式计算：</w:t>
      </w:r>
    </w:p>
    <w:p>
      <w:pPr>
        <w:jc w:val="center"/>
        <w:rPr>
          <w:rFonts w:ascii="仿宋_GB2312" w:hAnsi="Times New Roman" w:eastAsia="仿宋_GB2312" w:cs="Times New Roman"/>
          <w:sz w:val="30"/>
          <w:szCs w:val="30"/>
        </w:rPr>
      </w:pPr>
      <w:r>
        <w:rPr>
          <w:rFonts w:hint="eastAsia" w:ascii="仿宋_GB2312" w:hAnsi="Times New Roman" w:eastAsia="仿宋_GB2312" w:cs="Times New Roman"/>
          <w:position w:val="-12"/>
          <w:sz w:val="30"/>
          <w:szCs w:val="30"/>
        </w:rPr>
        <w:object>
          <v:shape id="_x0000_i1031" o:spt="75" type="#_x0000_t75" style="height:18.65pt;width:184.65pt;" o:ole="t" filled="f" o:preferrelative="t" stroked="f" coordsize="21600,21600">
            <v:path/>
            <v:fill on="f" focussize="0,0"/>
            <v:stroke on="f" joinstyle="miter"/>
            <v:imagedata r:id="rId51" o:title=""/>
            <o:lock v:ext="edit" aspectratio="t"/>
            <w10:wrap type="none"/>
            <w10:anchorlock/>
          </v:shape>
          <o:OLEObject Type="Embed" ProgID="Equation.3" ShapeID="_x0000_i1031" DrawAspect="Content" ObjectID="_1468075731" r:id="rId50">
            <o:LockedField>false</o:LockedField>
          </o:OLEObject>
        </w:objec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其中：</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object>
          <v:shape id="_x0000_i1032" o:spt="75" type="#_x0000_t75" style="height:18.65pt;width:28pt;" o:ole="t" filled="f" o:preferrelative="t" stroked="f" coordsize="21600,21600">
            <v:path/>
            <v:fill on="f" focussize="0,0"/>
            <v:stroke on="f" joinstyle="miter"/>
            <v:imagedata r:id="rId53" o:title=""/>
            <o:lock v:ext="edit" aspectratio="t"/>
            <w10:wrap type="none"/>
            <w10:anchorlock/>
          </v:shape>
          <o:OLEObject Type="Embed" ProgID="Equation.3" ShapeID="_x0000_i1032" DrawAspect="Content" ObjectID="_1468075732" r:id="rId52">
            <o:LockedField>false</o:LockedField>
          </o:OLEObject>
        </w:object>
      </w:r>
      <w:r>
        <w:rPr>
          <w:rFonts w:hint="eastAsia" w:ascii="仿宋_GB2312" w:hAnsi="Times New Roman" w:eastAsia="仿宋_GB2312" w:cs="Times New Roman"/>
          <w:bCs/>
          <w:sz w:val="30"/>
          <w:szCs w:val="30"/>
        </w:rPr>
        <w:t>为净额结算协议下对同一交易对手的所有合约的潜在风险暴露之和，等于每笔交易合约本金乘以相应的附加系数的总和，附加系数见本附件表4和表5。</w:t>
      </w:r>
    </w:p>
    <w:p>
      <w:pPr>
        <w:spacing w:line="480" w:lineRule="exact"/>
        <w:ind w:firstLine="600" w:firstLineChars="200"/>
        <w:rPr>
          <w:rFonts w:ascii="Times New Roman" w:hAnsi="Times New Roman" w:eastAsia="仿宋_GB2312" w:cs="Times New Roman"/>
          <w:bCs/>
          <w:sz w:val="30"/>
          <w:szCs w:val="30"/>
        </w:rPr>
      </w:pPr>
      <w:r>
        <w:rPr>
          <w:rFonts w:ascii="仿宋_GB2312" w:hAnsi="Times New Roman" w:eastAsia="仿宋_GB2312" w:cs="Times New Roman"/>
          <w:bCs/>
          <w:sz w:val="30"/>
          <w:szCs w:val="30"/>
        </w:rPr>
        <w:t>NGR</w:t>
      </w:r>
      <w:r>
        <w:rPr>
          <w:rFonts w:hint="eastAsia" w:ascii="仿宋_GB2312" w:hAnsi="Times New Roman" w:eastAsia="仿宋_GB2312" w:cs="Times New Roman"/>
          <w:bCs/>
          <w:sz w:val="30"/>
          <w:szCs w:val="30"/>
        </w:rPr>
        <w:t>为净额结算协议重置成本净额与重置成本总额的比率。经国家金融监督管理总局或其派出机构认可，N</w:t>
      </w:r>
      <w:r>
        <w:rPr>
          <w:rFonts w:ascii="仿宋_GB2312" w:hAnsi="Times New Roman" w:eastAsia="仿宋_GB2312" w:cs="Times New Roman"/>
          <w:bCs/>
          <w:sz w:val="30"/>
          <w:szCs w:val="30"/>
        </w:rPr>
        <w:t>GR</w:t>
      </w:r>
      <w:r>
        <w:rPr>
          <w:rFonts w:hint="eastAsia" w:ascii="仿宋_GB2312" w:hAnsi="Times New Roman" w:eastAsia="仿宋_GB2312" w:cs="Times New Roman"/>
          <w:bCs/>
          <w:sz w:val="30"/>
          <w:szCs w:val="30"/>
        </w:rPr>
        <w:t>可基于单个交易对手计算。未经国家金融监督管理总局或其派出机构认可，商业银行不得变更计算方法。</w:t>
      </w:r>
    </w:p>
    <w:p>
      <w:pPr>
        <w:pStyle w:val="3"/>
        <w:jc w:val="both"/>
      </w:pPr>
      <w:r>
        <w:t>三、证券融资交易的交易对手违约风险加权资产的计量</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（一）商业银行可采用权重法或内部评级法计量证券融资交易的交易对手违约风险加权资产。</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（二）商业银行采用内部评级法的，按照本办法附件6和附件7的规定计量银行账簿和交易账簿中的证券融资交易的风险加权资产。</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（三）商业银行采用权重法的，采用以下方法处理</w:t>
      </w:r>
      <w:r>
        <w:rPr>
          <w:rFonts w:hint="eastAsia" w:ascii="仿宋_GB2312" w:hAnsi="Times New Roman" w:eastAsia="仿宋_GB2312" w:cs="Times New Roman"/>
          <w:bCs/>
          <w:sz w:val="30"/>
          <w:szCs w:val="30"/>
        </w:rPr>
        <w:t>：</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1</w:t>
      </w:r>
      <w:r>
        <w:rPr>
          <w:rFonts w:hint="eastAsia" w:ascii="仿宋_GB2312" w:hAnsi="Times New Roman" w:eastAsia="仿宋_GB2312" w:cs="Times New Roman"/>
          <w:bCs/>
          <w:sz w:val="30"/>
          <w:szCs w:val="30"/>
        </w:rPr>
        <w:t>.</w:t>
      </w:r>
      <w:r>
        <w:rPr>
          <w:rFonts w:ascii="仿宋_GB2312" w:hAnsi="Times New Roman" w:eastAsia="仿宋_GB2312" w:cs="Times New Roman"/>
          <w:bCs/>
          <w:sz w:val="30"/>
          <w:szCs w:val="30"/>
        </w:rPr>
        <w:t>对于银行账簿中</w:t>
      </w:r>
      <w:r>
        <w:rPr>
          <w:rFonts w:hint="eastAsia" w:ascii="仿宋_GB2312" w:hAnsi="Times New Roman" w:eastAsia="仿宋_GB2312" w:cs="Times New Roman"/>
          <w:bCs/>
          <w:sz w:val="30"/>
          <w:szCs w:val="30"/>
        </w:rPr>
        <w:t>的</w:t>
      </w:r>
      <w:r>
        <w:rPr>
          <w:rFonts w:ascii="仿宋_GB2312" w:hAnsi="Times New Roman" w:eastAsia="仿宋_GB2312" w:cs="Times New Roman"/>
          <w:bCs/>
          <w:sz w:val="30"/>
          <w:szCs w:val="30"/>
        </w:rPr>
        <w:t>证券融资交易，按照本办法正文第八十</w:t>
      </w:r>
      <w:r>
        <w:rPr>
          <w:rFonts w:hint="eastAsia" w:ascii="仿宋_GB2312" w:hAnsi="Times New Roman" w:eastAsia="仿宋_GB2312" w:cs="Times New Roman"/>
          <w:bCs/>
          <w:sz w:val="30"/>
          <w:szCs w:val="30"/>
        </w:rPr>
        <w:t>四</w:t>
      </w:r>
      <w:r>
        <w:rPr>
          <w:rFonts w:ascii="仿宋_GB2312" w:hAnsi="Times New Roman" w:eastAsia="仿宋_GB2312" w:cs="Times New Roman"/>
          <w:bCs/>
          <w:sz w:val="30"/>
          <w:szCs w:val="30"/>
        </w:rPr>
        <w:t>条至第</w:t>
      </w:r>
      <w:r>
        <w:rPr>
          <w:rFonts w:hint="eastAsia" w:ascii="仿宋_GB2312" w:hAnsi="Times New Roman" w:eastAsia="仿宋_GB2312" w:cs="Times New Roman"/>
          <w:bCs/>
          <w:sz w:val="30"/>
          <w:szCs w:val="30"/>
        </w:rPr>
        <w:t>八十七</w:t>
      </w:r>
      <w:r>
        <w:rPr>
          <w:rFonts w:ascii="仿宋_GB2312" w:hAnsi="Times New Roman" w:eastAsia="仿宋_GB2312" w:cs="Times New Roman"/>
          <w:bCs/>
          <w:sz w:val="30"/>
          <w:szCs w:val="30"/>
        </w:rPr>
        <w:t>条、附件3的规定计量风险加权资产。</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2</w:t>
      </w:r>
      <w:r>
        <w:rPr>
          <w:rFonts w:hint="eastAsia" w:ascii="仿宋_GB2312" w:hAnsi="Times New Roman" w:eastAsia="仿宋_GB2312" w:cs="Times New Roman"/>
          <w:bCs/>
          <w:sz w:val="30"/>
          <w:szCs w:val="30"/>
        </w:rPr>
        <w:t>.</w:t>
      </w:r>
      <w:r>
        <w:rPr>
          <w:rFonts w:ascii="仿宋_GB2312" w:hAnsi="Times New Roman" w:eastAsia="仿宋_GB2312" w:cs="Times New Roman"/>
          <w:bCs/>
          <w:sz w:val="30"/>
          <w:szCs w:val="30"/>
        </w:rPr>
        <w:t>对于交易账簿中的证券融资交易，交易对手信用风险加权资产为证券融资交易风险缓释后风险暴露乘以本办</w:t>
      </w:r>
      <w:r>
        <w:rPr>
          <w:rFonts w:hint="eastAsia" w:ascii="仿宋_GB2312" w:hAnsi="Times New Roman" w:eastAsia="仿宋_GB2312" w:cs="Times New Roman"/>
          <w:bCs/>
          <w:sz w:val="30"/>
          <w:szCs w:val="30"/>
        </w:rPr>
        <w:t>法</w:t>
      </w:r>
      <w:r>
        <w:rPr>
          <w:rFonts w:ascii="仿宋_GB2312" w:hAnsi="Times New Roman" w:eastAsia="仿宋_GB2312" w:cs="Times New Roman"/>
          <w:bCs/>
          <w:sz w:val="30"/>
          <w:szCs w:val="30"/>
        </w:rPr>
        <w:t>附件3规定的交易对手的风险权重。</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3</w:t>
      </w:r>
      <w:r>
        <w:rPr>
          <w:rFonts w:hint="eastAsia" w:ascii="仿宋_GB2312" w:hAnsi="Times New Roman" w:eastAsia="仿宋_GB2312" w:cs="Times New Roman"/>
          <w:bCs/>
          <w:sz w:val="30"/>
          <w:szCs w:val="30"/>
        </w:rPr>
        <w:t>.</w:t>
      </w:r>
      <w:r>
        <w:rPr>
          <w:rFonts w:ascii="仿宋_GB2312" w:hAnsi="Times New Roman" w:eastAsia="仿宋_GB2312" w:cs="Times New Roman"/>
          <w:bCs/>
          <w:sz w:val="30"/>
          <w:szCs w:val="30"/>
        </w:rPr>
        <w:t>证券融资交易风险缓释后风险暴露按照以下公式计量：</w:t>
      </w:r>
    </w:p>
    <w:p>
      <w:pPr>
        <w:ind w:firstLine="420" w:firstLineChars="200"/>
        <w:jc w:val="center"/>
      </w:pPr>
      <w:r>
        <w:object>
          <v:shape id="_x0000_i1033" o:spt="75" type="#_x0000_t75" style="height:20pt;width:234.65pt;" o:ole="t" filled="f" o:preferrelative="t" stroked="f" coordsize="21600,21600">
            <v:path/>
            <v:fill on="f" focussize="0,0"/>
            <v:stroke on="f" joinstyle="miter"/>
            <v:imagedata r:id="rId55" o:title=""/>
            <o:lock v:ext="edit" aspectratio="t"/>
            <w10:wrap type="none"/>
            <w10:anchorlock/>
          </v:shape>
          <o:OLEObject Type="Embed" ProgID="Equation.3" ShapeID="_x0000_i1033" DrawAspect="Content" ObjectID="_1468075733" r:id="rId54">
            <o:LockedField>false</o:LockedField>
          </o:OLEObject>
        </w:objec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其中：</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object>
          <v:shape id="_x0000_i1034" o:spt="75" type="#_x0000_t75" style="height:12.65pt;width:12pt;" o:ole="t" filled="f" o:preferrelative="t" stroked="f" coordsize="21600,21600">
            <v:path/>
            <v:fill on="f" focussize="0,0"/>
            <v:stroke on="f" joinstyle="miter"/>
            <v:imagedata r:id="rId57" o:title=""/>
            <o:lock v:ext="edit" aspectratio="t"/>
            <w10:wrap type="none"/>
            <w10:anchorlock/>
          </v:shape>
          <o:OLEObject Type="Embed" ProgID="Equation.DSMT4" ShapeID="_x0000_i1034" DrawAspect="Content" ObjectID="_1468075734" r:id="rId56">
            <o:LockedField>false</o:LockedField>
          </o:OLEObject>
        </w:object>
      </w:r>
      <w:r>
        <w:rPr>
          <w:rFonts w:ascii="仿宋_GB2312" w:hAnsi="Times New Roman" w:eastAsia="仿宋_GB2312" w:cs="Times New Roman"/>
          <w:bCs/>
          <w:sz w:val="30"/>
          <w:szCs w:val="30"/>
        </w:rPr>
        <w:t>为证券融资交易风险缓释前风险暴露</w:t>
      </w:r>
      <w:r>
        <w:rPr>
          <w:rFonts w:hint="eastAsia" w:ascii="仿宋_GB2312" w:hAnsi="Times New Roman" w:eastAsia="仿宋_GB2312" w:cs="Times New Roman"/>
          <w:bCs/>
          <w:sz w:val="30"/>
          <w:szCs w:val="30"/>
        </w:rPr>
        <w:t>。</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object>
          <v:shape id="_x0000_i1035" o:spt="75" type="#_x0000_t75" style="height:16pt;width:17.35pt;" o:ole="t" filled="f" o:preferrelative="t" stroked="f" coordsize="21600,21600">
            <v:path/>
            <v:fill on="f" focussize="0,0"/>
            <v:stroke on="f" joinstyle="miter"/>
            <v:imagedata r:id="rId59" o:title=""/>
            <o:lock v:ext="edit" aspectratio="t"/>
            <w10:wrap type="none"/>
            <w10:anchorlock/>
          </v:shape>
          <o:OLEObject Type="Embed" ProgID="Equation.3" ShapeID="_x0000_i1035" DrawAspect="Content" ObjectID="_1468075735" r:id="rId58">
            <o:LockedField>false</o:LockedField>
          </o:OLEObject>
        </w:object>
      </w:r>
      <w:r>
        <w:rPr>
          <w:rFonts w:ascii="仿宋_GB2312" w:hAnsi="Times New Roman" w:eastAsia="仿宋_GB2312" w:cs="Times New Roman"/>
          <w:bCs/>
          <w:sz w:val="30"/>
          <w:szCs w:val="30"/>
        </w:rPr>
        <w:t>为证券融资交易风险缓释后风险暴露</w:t>
      </w:r>
      <w:r>
        <w:rPr>
          <w:rFonts w:hint="eastAsia" w:ascii="仿宋_GB2312" w:hAnsi="Times New Roman" w:eastAsia="仿宋_GB2312" w:cs="Times New Roman"/>
          <w:bCs/>
          <w:sz w:val="30"/>
          <w:szCs w:val="30"/>
        </w:rPr>
        <w:t>。</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object>
          <v:shape id="_x0000_i1036" o:spt="75" type="#_x0000_t75" style="height:18.65pt;width:16pt;" o:ole="t" filled="f" o:preferrelative="t" stroked="f" coordsize="21600,21600">
            <v:path/>
            <v:fill on="f" focussize="0,0"/>
            <v:stroke on="f" joinstyle="miter"/>
            <v:imagedata r:id="rId61" o:title=""/>
            <o:lock v:ext="edit" aspectratio="t"/>
            <w10:wrap type="none"/>
            <w10:anchorlock/>
          </v:shape>
          <o:OLEObject Type="Embed" ProgID="Equation.3" ShapeID="_x0000_i1036" DrawAspect="Content" ObjectID="_1468075736" r:id="rId60">
            <o:LockedField>false</o:LockedField>
          </o:OLEObject>
        </w:object>
      </w:r>
      <w:r>
        <w:rPr>
          <w:rFonts w:ascii="仿宋_GB2312" w:hAnsi="Times New Roman" w:eastAsia="仿宋_GB2312" w:cs="Times New Roman"/>
          <w:bCs/>
          <w:sz w:val="30"/>
          <w:szCs w:val="30"/>
        </w:rPr>
        <w:t>为风险暴露的折扣系数</w:t>
      </w:r>
      <w:r>
        <w:rPr>
          <w:rFonts w:hint="eastAsia" w:ascii="仿宋_GB2312" w:hAnsi="Times New Roman" w:eastAsia="仿宋_GB2312" w:cs="Times New Roman"/>
          <w:bCs/>
          <w:sz w:val="30"/>
          <w:szCs w:val="30"/>
        </w:rPr>
        <w:t>。</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object>
          <v:shape id="_x0000_i1037" o:spt="75" type="#_x0000_t75" style="height:12.65pt;width:12pt;" o:ole="t" filled="f" o:preferrelative="t" stroked="f" coordsize="21600,21600">
            <v:path/>
            <v:fill on="f" focussize="0,0"/>
            <v:stroke on="f" joinstyle="miter"/>
            <v:imagedata r:id="rId63" o:title=""/>
            <o:lock v:ext="edit" aspectratio="t"/>
            <w10:wrap type="none"/>
            <w10:anchorlock/>
          </v:shape>
          <o:OLEObject Type="Embed" ProgID="Equation.3" ShapeID="_x0000_i1037" DrawAspect="Content" ObjectID="_1468075737" r:id="rId62">
            <o:LockedField>false</o:LockedField>
          </o:OLEObject>
        </w:object>
      </w:r>
      <w:r>
        <w:rPr>
          <w:rFonts w:ascii="仿宋_GB2312" w:hAnsi="Times New Roman" w:eastAsia="仿宋_GB2312" w:cs="Times New Roman"/>
          <w:bCs/>
          <w:sz w:val="30"/>
          <w:szCs w:val="30"/>
        </w:rPr>
        <w:t>为金融质押品的当前价值</w:t>
      </w:r>
      <w:r>
        <w:rPr>
          <w:rFonts w:hint="eastAsia" w:ascii="仿宋_GB2312" w:hAnsi="Times New Roman" w:eastAsia="仿宋_GB2312" w:cs="Times New Roman"/>
          <w:bCs/>
          <w:sz w:val="30"/>
          <w:szCs w:val="30"/>
        </w:rPr>
        <w:t>。</w:t>
      </w:r>
    </w:p>
    <w:p>
      <w:pPr>
        <w:spacing w:line="480" w:lineRule="exact"/>
        <w:ind w:firstLine="600" w:firstLineChars="200"/>
        <w:rPr>
          <w:rFonts w:ascii="仿宋_GB2312" w:hAnsi="Times New Roman" w:eastAsia="仿宋_GB2312" w:cs="Times New Roman"/>
          <w:bCs/>
          <w:sz w:val="30"/>
          <w:szCs w:val="30"/>
        </w:rPr>
      </w:pPr>
      <w:bookmarkStart w:id="0" w:name="_GoBack"/>
      <w:r>
        <w:rPr>
          <w:rFonts w:ascii="仿宋_GB2312" w:hAnsi="Times New Roman" w:eastAsia="仿宋_GB2312" w:cs="Times New Roman"/>
          <w:bCs/>
          <w:sz w:val="30"/>
          <w:szCs w:val="30"/>
        </w:rPr>
        <w:object>
          <v:shape id="_x0000_i1038" o:spt="75" type="#_x0000_t75" style="height:18.65pt;width:18.65pt;" o:ole="t" filled="f" o:preferrelative="t" stroked="f" coordsize="21600,21600">
            <v:path/>
            <v:fill on="f" focussize="0,0"/>
            <v:stroke on="f" joinstyle="miter"/>
            <v:imagedata r:id="rId65" o:title=""/>
            <o:lock v:ext="edit" aspectratio="t"/>
            <w10:wrap type="none"/>
            <w10:anchorlock/>
          </v:shape>
          <o:OLEObject Type="Embed" ProgID="Equation.3" ShapeID="_x0000_i1038" DrawAspect="Content" ObjectID="_1468075738" r:id="rId64">
            <o:LockedField>false</o:LockedField>
          </o:OLEObject>
        </w:object>
      </w:r>
      <w:bookmarkEnd w:id="0"/>
      <w:r>
        <w:rPr>
          <w:rFonts w:ascii="仿宋_GB2312" w:hAnsi="Times New Roman" w:eastAsia="仿宋_GB2312" w:cs="Times New Roman"/>
          <w:bCs/>
          <w:sz w:val="30"/>
          <w:szCs w:val="30"/>
        </w:rPr>
        <w:t>为金融质押品的折扣系数</w:t>
      </w:r>
      <w:r>
        <w:rPr>
          <w:rFonts w:hint="eastAsia" w:ascii="仿宋_GB2312" w:hAnsi="Times New Roman" w:eastAsia="仿宋_GB2312" w:cs="Times New Roman"/>
          <w:bCs/>
          <w:sz w:val="30"/>
          <w:szCs w:val="30"/>
        </w:rPr>
        <w:t>。</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object>
          <v:shape id="_x0000_i1039" o:spt="75" type="#_x0000_t75" style="height:20pt;width:22pt;" o:ole="t" filled="f" o:preferrelative="t" stroked="f" coordsize="21600,21600">
            <v:path/>
            <v:fill on="f" focussize="0,0"/>
            <v:stroke on="f" joinstyle="miter"/>
            <v:imagedata r:id="rId67" o:title=""/>
            <o:lock v:ext="edit" aspectratio="t"/>
            <w10:wrap type="none"/>
            <w10:anchorlock/>
          </v:shape>
          <o:OLEObject Type="Embed" ProgID="Equation.3" ShapeID="_x0000_i1039" DrawAspect="Content" ObjectID="_1468075739" r:id="rId66">
            <o:LockedField>false</o:LockedField>
          </o:OLEObject>
        </w:object>
      </w:r>
      <w:r>
        <w:rPr>
          <w:rFonts w:ascii="仿宋_GB2312" w:hAnsi="Times New Roman" w:eastAsia="仿宋_GB2312" w:cs="Times New Roman"/>
          <w:bCs/>
          <w:sz w:val="30"/>
          <w:szCs w:val="30"/>
        </w:rPr>
        <w:t>为处理金融质押品和风险暴露币种错配的折扣系数。</w:t>
      </w:r>
    </w:p>
    <w:p>
      <w:pPr>
        <w:spacing w:line="480" w:lineRule="exact"/>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合格金融质押品</w:t>
      </w:r>
      <w:r>
        <w:rPr>
          <w:rFonts w:ascii="仿宋_GB2312" w:hAnsi="Times New Roman" w:eastAsia="仿宋_GB2312" w:cs="Times New Roman"/>
          <w:bCs/>
          <w:sz w:val="30"/>
          <w:szCs w:val="30"/>
        </w:rPr>
        <w:t>的种类和以上参数分别见本办法附件7</w:t>
      </w:r>
      <w:r>
        <w:rPr>
          <w:rFonts w:hint="eastAsia" w:ascii="仿宋_GB2312" w:hAnsi="Times New Roman" w:eastAsia="仿宋_GB2312" w:cs="Times New Roman"/>
          <w:bCs/>
          <w:sz w:val="30"/>
          <w:szCs w:val="30"/>
        </w:rPr>
        <w:t>第二、第</w:t>
      </w:r>
      <w:r>
        <w:rPr>
          <w:rFonts w:ascii="仿宋_GB2312" w:hAnsi="Times New Roman" w:eastAsia="仿宋_GB2312" w:cs="Times New Roman"/>
          <w:bCs/>
          <w:sz w:val="30"/>
          <w:szCs w:val="30"/>
        </w:rPr>
        <w:t>六</w:t>
      </w:r>
      <w:r>
        <w:rPr>
          <w:rFonts w:hint="eastAsia" w:ascii="仿宋_GB2312" w:hAnsi="Times New Roman" w:eastAsia="仿宋_GB2312" w:cs="Times New Roman"/>
          <w:bCs/>
          <w:sz w:val="30"/>
          <w:szCs w:val="30"/>
        </w:rPr>
        <w:t>、第</w:t>
      </w:r>
      <w:r>
        <w:rPr>
          <w:rFonts w:ascii="仿宋_GB2312" w:hAnsi="Times New Roman" w:eastAsia="仿宋_GB2312" w:cs="Times New Roman"/>
          <w:bCs/>
          <w:sz w:val="30"/>
          <w:szCs w:val="30"/>
        </w:rPr>
        <w:t>七</w:t>
      </w:r>
      <w:r>
        <w:rPr>
          <w:rFonts w:hint="eastAsia" w:ascii="仿宋_GB2312" w:hAnsi="Times New Roman" w:eastAsia="仿宋_GB2312" w:cs="Times New Roman"/>
          <w:bCs/>
          <w:sz w:val="30"/>
          <w:szCs w:val="30"/>
        </w:rPr>
        <w:t>和第八部分</w:t>
      </w:r>
      <w:r>
        <w:rPr>
          <w:rFonts w:ascii="仿宋_GB2312" w:hAnsi="Times New Roman" w:eastAsia="仿宋_GB2312" w:cs="Times New Roman"/>
          <w:bCs/>
          <w:sz w:val="30"/>
          <w:szCs w:val="30"/>
        </w:rPr>
        <w:t>。</w:t>
      </w:r>
    </w:p>
    <w:p>
      <w:pPr>
        <w:spacing w:line="480" w:lineRule="exact"/>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4</w:t>
      </w:r>
      <w:r>
        <w:rPr>
          <w:rFonts w:hint="eastAsia" w:ascii="仿宋_GB2312" w:hAnsi="Times New Roman" w:eastAsia="仿宋_GB2312" w:cs="Times New Roman"/>
          <w:bCs/>
          <w:sz w:val="30"/>
          <w:szCs w:val="30"/>
        </w:rPr>
        <w:t>.</w:t>
      </w:r>
      <w:r>
        <w:rPr>
          <w:rFonts w:ascii="仿宋_GB2312" w:hAnsi="Times New Roman" w:eastAsia="仿宋_GB2312" w:cs="Times New Roman"/>
          <w:bCs/>
          <w:sz w:val="30"/>
          <w:szCs w:val="30"/>
        </w:rPr>
        <w:t>交易账簿中证券融资交易符合净额结算要求</w:t>
      </w:r>
      <w:r>
        <w:rPr>
          <w:rFonts w:hint="eastAsia" w:ascii="仿宋_GB2312" w:hAnsi="Times New Roman" w:eastAsia="仿宋_GB2312" w:cs="Times New Roman"/>
          <w:bCs/>
          <w:sz w:val="30"/>
          <w:szCs w:val="30"/>
        </w:rPr>
        <w:t>的</w:t>
      </w:r>
      <w:r>
        <w:rPr>
          <w:rFonts w:ascii="仿宋_GB2312" w:hAnsi="Times New Roman" w:eastAsia="仿宋_GB2312" w:cs="Times New Roman"/>
          <w:bCs/>
          <w:sz w:val="30"/>
          <w:szCs w:val="30"/>
        </w:rPr>
        <w:t>，商业银行可按照本办法附件7</w:t>
      </w:r>
      <w:r>
        <w:rPr>
          <w:rFonts w:hint="eastAsia" w:ascii="仿宋_GB2312" w:hAnsi="Times New Roman" w:eastAsia="仿宋_GB2312" w:cs="Times New Roman"/>
          <w:bCs/>
          <w:sz w:val="30"/>
          <w:szCs w:val="30"/>
        </w:rPr>
        <w:t>第三部分（六）</w:t>
      </w:r>
      <w:r>
        <w:rPr>
          <w:rFonts w:ascii="仿宋_GB2312" w:hAnsi="Times New Roman" w:eastAsia="仿宋_GB2312" w:cs="Times New Roman"/>
          <w:bCs/>
          <w:sz w:val="30"/>
          <w:szCs w:val="30"/>
        </w:rPr>
        <w:t>的相关规定计量证券融资交易的违约风险暴露。</w:t>
      </w:r>
    </w:p>
    <w:p>
      <w:pPr>
        <w:rPr>
          <w:rFonts w:ascii="Times New Roman" w:hAnsi="Times New Roman" w:eastAsia="黑体" w:cs="Times New Roman"/>
          <w:b/>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0000500000000020000"/>
    <w:charset w:val="00"/>
    <w:family w:val="auto"/>
    <w:pitch w:val="default"/>
    <w:sig w:usb0="00000000" w:usb1="00000000" w:usb2="00000000" w:usb3="00000000" w:csb0="0000019F" w:csb1="00000000"/>
  </w:font>
  <w:font w:name="Arial Unicode MS">
    <w:altName w:val="Arial"/>
    <w:panose1 w:val="020B0604020202020204"/>
    <w:charset w:val="80"/>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1"/>
        <w:szCs w:val="21"/>
      </w:rPr>
    </w:sdtEndPr>
    <w:sdtContent>
      <w:p>
        <w:pPr>
          <w:pStyle w:val="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4ODRiYzc2Y2I3NTRhOGM2MmIzZmJhODU1ZTk0ZmMifQ=="/>
  </w:docVars>
  <w:rsids>
    <w:rsidRoot w:val="00EB7852"/>
    <w:rsid w:val="00021EF7"/>
    <w:rsid w:val="0002203A"/>
    <w:rsid w:val="00022224"/>
    <w:rsid w:val="00033E26"/>
    <w:rsid w:val="000341A8"/>
    <w:rsid w:val="00067E72"/>
    <w:rsid w:val="00067F35"/>
    <w:rsid w:val="00070443"/>
    <w:rsid w:val="00071F10"/>
    <w:rsid w:val="000913F8"/>
    <w:rsid w:val="000C162D"/>
    <w:rsid w:val="000C5B15"/>
    <w:rsid w:val="000D05E6"/>
    <w:rsid w:val="000D7B6B"/>
    <w:rsid w:val="000E21AE"/>
    <w:rsid w:val="000E3DF1"/>
    <w:rsid w:val="000E667B"/>
    <w:rsid w:val="0010593F"/>
    <w:rsid w:val="0011319D"/>
    <w:rsid w:val="00116583"/>
    <w:rsid w:val="00130101"/>
    <w:rsid w:val="00130F59"/>
    <w:rsid w:val="00131DE9"/>
    <w:rsid w:val="00132246"/>
    <w:rsid w:val="001415C5"/>
    <w:rsid w:val="0014457A"/>
    <w:rsid w:val="0016174F"/>
    <w:rsid w:val="00161C88"/>
    <w:rsid w:val="00162EFB"/>
    <w:rsid w:val="00172233"/>
    <w:rsid w:val="00190BF1"/>
    <w:rsid w:val="00193D6B"/>
    <w:rsid w:val="00196AA7"/>
    <w:rsid w:val="001A13FA"/>
    <w:rsid w:val="001A3B4D"/>
    <w:rsid w:val="001A50C4"/>
    <w:rsid w:val="001A698A"/>
    <w:rsid w:val="001B2C34"/>
    <w:rsid w:val="001B59A2"/>
    <w:rsid w:val="001B76B8"/>
    <w:rsid w:val="001B7901"/>
    <w:rsid w:val="001C1625"/>
    <w:rsid w:val="001C26AC"/>
    <w:rsid w:val="001C5753"/>
    <w:rsid w:val="001D6035"/>
    <w:rsid w:val="001D715D"/>
    <w:rsid w:val="001E1DDD"/>
    <w:rsid w:val="001E54CC"/>
    <w:rsid w:val="001F253E"/>
    <w:rsid w:val="002039D7"/>
    <w:rsid w:val="00212A2C"/>
    <w:rsid w:val="00214C9C"/>
    <w:rsid w:val="00217D76"/>
    <w:rsid w:val="00222AD1"/>
    <w:rsid w:val="00235834"/>
    <w:rsid w:val="0024462A"/>
    <w:rsid w:val="00251B86"/>
    <w:rsid w:val="00255DC9"/>
    <w:rsid w:val="002705C2"/>
    <w:rsid w:val="00273420"/>
    <w:rsid w:val="00281143"/>
    <w:rsid w:val="002938E8"/>
    <w:rsid w:val="002A0A2B"/>
    <w:rsid w:val="002A2903"/>
    <w:rsid w:val="002B2123"/>
    <w:rsid w:val="002B3886"/>
    <w:rsid w:val="002C2B43"/>
    <w:rsid w:val="002C50B6"/>
    <w:rsid w:val="002C7BE5"/>
    <w:rsid w:val="002D2264"/>
    <w:rsid w:val="002E1AA0"/>
    <w:rsid w:val="002E5D89"/>
    <w:rsid w:val="00301EA6"/>
    <w:rsid w:val="00304D70"/>
    <w:rsid w:val="0031418F"/>
    <w:rsid w:val="00315B5C"/>
    <w:rsid w:val="0031773E"/>
    <w:rsid w:val="00324D32"/>
    <w:rsid w:val="00332BEA"/>
    <w:rsid w:val="00332CE9"/>
    <w:rsid w:val="00332FDA"/>
    <w:rsid w:val="00340116"/>
    <w:rsid w:val="00340FB3"/>
    <w:rsid w:val="0034514D"/>
    <w:rsid w:val="0035333E"/>
    <w:rsid w:val="00353868"/>
    <w:rsid w:val="00354C01"/>
    <w:rsid w:val="00356226"/>
    <w:rsid w:val="00365239"/>
    <w:rsid w:val="003660F8"/>
    <w:rsid w:val="0037237D"/>
    <w:rsid w:val="0038008C"/>
    <w:rsid w:val="003867D5"/>
    <w:rsid w:val="003910DD"/>
    <w:rsid w:val="0039753A"/>
    <w:rsid w:val="003978BF"/>
    <w:rsid w:val="003A3494"/>
    <w:rsid w:val="003A3BF2"/>
    <w:rsid w:val="003B59EC"/>
    <w:rsid w:val="003C3FDB"/>
    <w:rsid w:val="003C4A54"/>
    <w:rsid w:val="003C4C2C"/>
    <w:rsid w:val="003D0C6A"/>
    <w:rsid w:val="003D0D4F"/>
    <w:rsid w:val="003D4027"/>
    <w:rsid w:val="003E493F"/>
    <w:rsid w:val="003E513E"/>
    <w:rsid w:val="003F64F2"/>
    <w:rsid w:val="00407053"/>
    <w:rsid w:val="00415727"/>
    <w:rsid w:val="00426D00"/>
    <w:rsid w:val="00427CA4"/>
    <w:rsid w:val="00431450"/>
    <w:rsid w:val="004321C6"/>
    <w:rsid w:val="00432A26"/>
    <w:rsid w:val="0043763E"/>
    <w:rsid w:val="00456E5A"/>
    <w:rsid w:val="004675A7"/>
    <w:rsid w:val="00475807"/>
    <w:rsid w:val="00480DB1"/>
    <w:rsid w:val="00492112"/>
    <w:rsid w:val="00492F62"/>
    <w:rsid w:val="004948CD"/>
    <w:rsid w:val="0049726E"/>
    <w:rsid w:val="004A7413"/>
    <w:rsid w:val="004B3AF4"/>
    <w:rsid w:val="004C0510"/>
    <w:rsid w:val="004D072E"/>
    <w:rsid w:val="004D4BAA"/>
    <w:rsid w:val="004F00C4"/>
    <w:rsid w:val="0050019B"/>
    <w:rsid w:val="005001A7"/>
    <w:rsid w:val="0050410F"/>
    <w:rsid w:val="0050653B"/>
    <w:rsid w:val="00507EFA"/>
    <w:rsid w:val="00512BEC"/>
    <w:rsid w:val="00525017"/>
    <w:rsid w:val="00535A84"/>
    <w:rsid w:val="005565D2"/>
    <w:rsid w:val="00556CF8"/>
    <w:rsid w:val="005608DD"/>
    <w:rsid w:val="00564E12"/>
    <w:rsid w:val="00564E3F"/>
    <w:rsid w:val="005651B0"/>
    <w:rsid w:val="00573459"/>
    <w:rsid w:val="0058465E"/>
    <w:rsid w:val="00586604"/>
    <w:rsid w:val="00586776"/>
    <w:rsid w:val="00590BC8"/>
    <w:rsid w:val="0059135A"/>
    <w:rsid w:val="00593F87"/>
    <w:rsid w:val="005A0252"/>
    <w:rsid w:val="005A1D30"/>
    <w:rsid w:val="005A49BA"/>
    <w:rsid w:val="005A4A98"/>
    <w:rsid w:val="005A79E8"/>
    <w:rsid w:val="005B1E63"/>
    <w:rsid w:val="005B5761"/>
    <w:rsid w:val="005B7345"/>
    <w:rsid w:val="005C0F20"/>
    <w:rsid w:val="005C2534"/>
    <w:rsid w:val="005C5AD9"/>
    <w:rsid w:val="005D7690"/>
    <w:rsid w:val="005E0000"/>
    <w:rsid w:val="005E64CD"/>
    <w:rsid w:val="005F68FF"/>
    <w:rsid w:val="006015AB"/>
    <w:rsid w:val="0063302B"/>
    <w:rsid w:val="00635435"/>
    <w:rsid w:val="00647E79"/>
    <w:rsid w:val="00650738"/>
    <w:rsid w:val="00661F6F"/>
    <w:rsid w:val="00665BB6"/>
    <w:rsid w:val="00672DE6"/>
    <w:rsid w:val="00673E6F"/>
    <w:rsid w:val="00685473"/>
    <w:rsid w:val="006A19D7"/>
    <w:rsid w:val="006C0FD3"/>
    <w:rsid w:val="006C11FF"/>
    <w:rsid w:val="006E4F37"/>
    <w:rsid w:val="007012BF"/>
    <w:rsid w:val="0070130C"/>
    <w:rsid w:val="007074E9"/>
    <w:rsid w:val="007078A0"/>
    <w:rsid w:val="0070792A"/>
    <w:rsid w:val="00707C94"/>
    <w:rsid w:val="007140A5"/>
    <w:rsid w:val="0071421F"/>
    <w:rsid w:val="00727AFD"/>
    <w:rsid w:val="007357F6"/>
    <w:rsid w:val="007505F7"/>
    <w:rsid w:val="00755687"/>
    <w:rsid w:val="007579CB"/>
    <w:rsid w:val="00770437"/>
    <w:rsid w:val="00774A18"/>
    <w:rsid w:val="00783DA7"/>
    <w:rsid w:val="0078557B"/>
    <w:rsid w:val="00793352"/>
    <w:rsid w:val="00797720"/>
    <w:rsid w:val="007A2BA9"/>
    <w:rsid w:val="007A4DC1"/>
    <w:rsid w:val="007B1C3D"/>
    <w:rsid w:val="007B7F31"/>
    <w:rsid w:val="007C35CD"/>
    <w:rsid w:val="007C7FC6"/>
    <w:rsid w:val="007D174B"/>
    <w:rsid w:val="007D2EEE"/>
    <w:rsid w:val="007D513A"/>
    <w:rsid w:val="007E1A3D"/>
    <w:rsid w:val="007F19AC"/>
    <w:rsid w:val="007F369E"/>
    <w:rsid w:val="00803C9C"/>
    <w:rsid w:val="008055BC"/>
    <w:rsid w:val="00812132"/>
    <w:rsid w:val="0082222D"/>
    <w:rsid w:val="00822E70"/>
    <w:rsid w:val="00843D9E"/>
    <w:rsid w:val="00845294"/>
    <w:rsid w:val="008578B2"/>
    <w:rsid w:val="00861C2C"/>
    <w:rsid w:val="0086232E"/>
    <w:rsid w:val="008653F6"/>
    <w:rsid w:val="00865F6A"/>
    <w:rsid w:val="008660CB"/>
    <w:rsid w:val="00871FCE"/>
    <w:rsid w:val="00880BD7"/>
    <w:rsid w:val="008850AE"/>
    <w:rsid w:val="0089025B"/>
    <w:rsid w:val="00896671"/>
    <w:rsid w:val="008A6534"/>
    <w:rsid w:val="008A6F33"/>
    <w:rsid w:val="008B10AD"/>
    <w:rsid w:val="008B6A90"/>
    <w:rsid w:val="008B752F"/>
    <w:rsid w:val="008C4E61"/>
    <w:rsid w:val="008C4F3C"/>
    <w:rsid w:val="008C6919"/>
    <w:rsid w:val="008D1B1D"/>
    <w:rsid w:val="008D5C5C"/>
    <w:rsid w:val="008D6C4F"/>
    <w:rsid w:val="008E064D"/>
    <w:rsid w:val="008E5A0A"/>
    <w:rsid w:val="008E6AA2"/>
    <w:rsid w:val="008E6FD4"/>
    <w:rsid w:val="00907A7E"/>
    <w:rsid w:val="00916076"/>
    <w:rsid w:val="00931D99"/>
    <w:rsid w:val="009327DC"/>
    <w:rsid w:val="009339AC"/>
    <w:rsid w:val="00947CBB"/>
    <w:rsid w:val="00951F1D"/>
    <w:rsid w:val="009668C9"/>
    <w:rsid w:val="009856C1"/>
    <w:rsid w:val="00991047"/>
    <w:rsid w:val="00991BBC"/>
    <w:rsid w:val="00994A57"/>
    <w:rsid w:val="009A7080"/>
    <w:rsid w:val="009B34E0"/>
    <w:rsid w:val="009B398C"/>
    <w:rsid w:val="009C10C1"/>
    <w:rsid w:val="009C5A36"/>
    <w:rsid w:val="009D1484"/>
    <w:rsid w:val="009D1F39"/>
    <w:rsid w:val="009E13AC"/>
    <w:rsid w:val="009E18FD"/>
    <w:rsid w:val="009E54A2"/>
    <w:rsid w:val="00A01349"/>
    <w:rsid w:val="00A01EBA"/>
    <w:rsid w:val="00A128F3"/>
    <w:rsid w:val="00A277E8"/>
    <w:rsid w:val="00A3727C"/>
    <w:rsid w:val="00A50103"/>
    <w:rsid w:val="00A5316A"/>
    <w:rsid w:val="00A56D89"/>
    <w:rsid w:val="00A60732"/>
    <w:rsid w:val="00A60976"/>
    <w:rsid w:val="00A66E54"/>
    <w:rsid w:val="00A82A40"/>
    <w:rsid w:val="00A82A8D"/>
    <w:rsid w:val="00A92164"/>
    <w:rsid w:val="00AA386C"/>
    <w:rsid w:val="00AC3E23"/>
    <w:rsid w:val="00AD49A8"/>
    <w:rsid w:val="00AD68C0"/>
    <w:rsid w:val="00AD6BF1"/>
    <w:rsid w:val="00AD74B5"/>
    <w:rsid w:val="00AE623E"/>
    <w:rsid w:val="00AE6243"/>
    <w:rsid w:val="00AF13D2"/>
    <w:rsid w:val="00AF3354"/>
    <w:rsid w:val="00AF423E"/>
    <w:rsid w:val="00AF7264"/>
    <w:rsid w:val="00B00C48"/>
    <w:rsid w:val="00B02CB6"/>
    <w:rsid w:val="00B1272E"/>
    <w:rsid w:val="00B376AC"/>
    <w:rsid w:val="00B4635E"/>
    <w:rsid w:val="00B50B91"/>
    <w:rsid w:val="00B60499"/>
    <w:rsid w:val="00B75FCF"/>
    <w:rsid w:val="00B77652"/>
    <w:rsid w:val="00B80119"/>
    <w:rsid w:val="00B817AA"/>
    <w:rsid w:val="00B8285E"/>
    <w:rsid w:val="00B91435"/>
    <w:rsid w:val="00B92C5A"/>
    <w:rsid w:val="00B94240"/>
    <w:rsid w:val="00B95218"/>
    <w:rsid w:val="00B95EDF"/>
    <w:rsid w:val="00BA7061"/>
    <w:rsid w:val="00BB4A5D"/>
    <w:rsid w:val="00BB59FA"/>
    <w:rsid w:val="00BB5C95"/>
    <w:rsid w:val="00BE0FE8"/>
    <w:rsid w:val="00BE719F"/>
    <w:rsid w:val="00C01739"/>
    <w:rsid w:val="00C16B68"/>
    <w:rsid w:val="00C1730E"/>
    <w:rsid w:val="00C26EC7"/>
    <w:rsid w:val="00C439B3"/>
    <w:rsid w:val="00C464DF"/>
    <w:rsid w:val="00C63110"/>
    <w:rsid w:val="00C649BB"/>
    <w:rsid w:val="00C71768"/>
    <w:rsid w:val="00C742BD"/>
    <w:rsid w:val="00C74316"/>
    <w:rsid w:val="00C74CF8"/>
    <w:rsid w:val="00C74D21"/>
    <w:rsid w:val="00C771C3"/>
    <w:rsid w:val="00C82F43"/>
    <w:rsid w:val="00C95E52"/>
    <w:rsid w:val="00CA6016"/>
    <w:rsid w:val="00CA732F"/>
    <w:rsid w:val="00CB2772"/>
    <w:rsid w:val="00CB2A5B"/>
    <w:rsid w:val="00CB36B1"/>
    <w:rsid w:val="00CB6A86"/>
    <w:rsid w:val="00CC1D44"/>
    <w:rsid w:val="00CD10D5"/>
    <w:rsid w:val="00CE57B6"/>
    <w:rsid w:val="00CF7888"/>
    <w:rsid w:val="00D013D6"/>
    <w:rsid w:val="00D02726"/>
    <w:rsid w:val="00D05B27"/>
    <w:rsid w:val="00D078A7"/>
    <w:rsid w:val="00D121DA"/>
    <w:rsid w:val="00D1423D"/>
    <w:rsid w:val="00D14978"/>
    <w:rsid w:val="00D162EA"/>
    <w:rsid w:val="00D22E5B"/>
    <w:rsid w:val="00D2555F"/>
    <w:rsid w:val="00D334A5"/>
    <w:rsid w:val="00D35B7C"/>
    <w:rsid w:val="00D36B61"/>
    <w:rsid w:val="00D37BBA"/>
    <w:rsid w:val="00D40661"/>
    <w:rsid w:val="00D43529"/>
    <w:rsid w:val="00D457F6"/>
    <w:rsid w:val="00D53B14"/>
    <w:rsid w:val="00D53CD3"/>
    <w:rsid w:val="00D55EFC"/>
    <w:rsid w:val="00D63525"/>
    <w:rsid w:val="00D64595"/>
    <w:rsid w:val="00D747EE"/>
    <w:rsid w:val="00D817BC"/>
    <w:rsid w:val="00D83C2C"/>
    <w:rsid w:val="00D84A30"/>
    <w:rsid w:val="00D87F74"/>
    <w:rsid w:val="00D93609"/>
    <w:rsid w:val="00DA7965"/>
    <w:rsid w:val="00DB5CA7"/>
    <w:rsid w:val="00DB7941"/>
    <w:rsid w:val="00DC06F6"/>
    <w:rsid w:val="00DD3A67"/>
    <w:rsid w:val="00DD5035"/>
    <w:rsid w:val="00DE0CFA"/>
    <w:rsid w:val="00DE6DB1"/>
    <w:rsid w:val="00DE6F4B"/>
    <w:rsid w:val="00DE7B2B"/>
    <w:rsid w:val="00DF5204"/>
    <w:rsid w:val="00E016FF"/>
    <w:rsid w:val="00E03899"/>
    <w:rsid w:val="00E23F7F"/>
    <w:rsid w:val="00E24F5F"/>
    <w:rsid w:val="00E25CF8"/>
    <w:rsid w:val="00E321F2"/>
    <w:rsid w:val="00E406A7"/>
    <w:rsid w:val="00E40763"/>
    <w:rsid w:val="00E4312B"/>
    <w:rsid w:val="00E446B5"/>
    <w:rsid w:val="00E46122"/>
    <w:rsid w:val="00E478CC"/>
    <w:rsid w:val="00E54CCB"/>
    <w:rsid w:val="00E553CC"/>
    <w:rsid w:val="00E67C88"/>
    <w:rsid w:val="00E71326"/>
    <w:rsid w:val="00E77EBC"/>
    <w:rsid w:val="00E81ECA"/>
    <w:rsid w:val="00E843FD"/>
    <w:rsid w:val="00E85109"/>
    <w:rsid w:val="00E854DD"/>
    <w:rsid w:val="00E86020"/>
    <w:rsid w:val="00E93228"/>
    <w:rsid w:val="00E96AF9"/>
    <w:rsid w:val="00E97EFE"/>
    <w:rsid w:val="00EA097A"/>
    <w:rsid w:val="00EA309B"/>
    <w:rsid w:val="00EA700A"/>
    <w:rsid w:val="00EB1CA4"/>
    <w:rsid w:val="00EB5A0F"/>
    <w:rsid w:val="00EB7852"/>
    <w:rsid w:val="00EC58E8"/>
    <w:rsid w:val="00ED0A29"/>
    <w:rsid w:val="00ED3B2A"/>
    <w:rsid w:val="00ED43E6"/>
    <w:rsid w:val="00EE0D67"/>
    <w:rsid w:val="00EE6F9C"/>
    <w:rsid w:val="00EF1BAB"/>
    <w:rsid w:val="00EF1D5E"/>
    <w:rsid w:val="00EF2587"/>
    <w:rsid w:val="00F177EC"/>
    <w:rsid w:val="00F21D6E"/>
    <w:rsid w:val="00F22BB4"/>
    <w:rsid w:val="00F25931"/>
    <w:rsid w:val="00F264B3"/>
    <w:rsid w:val="00F35D5E"/>
    <w:rsid w:val="00F35DD9"/>
    <w:rsid w:val="00F379AD"/>
    <w:rsid w:val="00F5592B"/>
    <w:rsid w:val="00F57A81"/>
    <w:rsid w:val="00F60A4E"/>
    <w:rsid w:val="00F742C1"/>
    <w:rsid w:val="00FA1275"/>
    <w:rsid w:val="00FA3088"/>
    <w:rsid w:val="00FA635E"/>
    <w:rsid w:val="00FA7842"/>
    <w:rsid w:val="00FB5FF2"/>
    <w:rsid w:val="00FC11E5"/>
    <w:rsid w:val="00FC1555"/>
    <w:rsid w:val="00FC47D6"/>
    <w:rsid w:val="00FC795A"/>
    <w:rsid w:val="00FD1068"/>
    <w:rsid w:val="00FD1353"/>
    <w:rsid w:val="00FD757A"/>
    <w:rsid w:val="00FE146B"/>
    <w:rsid w:val="00FE3AE1"/>
    <w:rsid w:val="00FF42A7"/>
    <w:rsid w:val="057053F4"/>
    <w:rsid w:val="0B884351"/>
    <w:rsid w:val="147FA627"/>
    <w:rsid w:val="1D2547F1"/>
    <w:rsid w:val="1E7A054B"/>
    <w:rsid w:val="49CD73AA"/>
    <w:rsid w:val="4DEEF6F8"/>
    <w:rsid w:val="514D211B"/>
    <w:rsid w:val="57560282"/>
    <w:rsid w:val="67D00FEF"/>
    <w:rsid w:val="6F2FCD66"/>
    <w:rsid w:val="70541671"/>
    <w:rsid w:val="728A2B56"/>
    <w:rsid w:val="7FFF2482"/>
    <w:rsid w:val="7FFFF246"/>
    <w:rsid w:val="BF4F4570"/>
    <w:rsid w:val="CECD519E"/>
    <w:rsid w:val="D4FDF8B2"/>
    <w:rsid w:val="E94786E6"/>
    <w:rsid w:val="F3F685DB"/>
    <w:rsid w:val="F6FF7FA9"/>
    <w:rsid w:val="FF7F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7"/>
    <w:qFormat/>
    <w:uiPriority w:val="9"/>
    <w:pPr>
      <w:outlineLvl w:val="0"/>
    </w:pPr>
    <w:rPr>
      <w:sz w:val="44"/>
    </w:rPr>
  </w:style>
  <w:style w:type="paragraph" w:styleId="3">
    <w:name w:val="heading 2"/>
    <w:basedOn w:val="4"/>
    <w:next w:val="1"/>
    <w:link w:val="26"/>
    <w:qFormat/>
    <w:uiPriority w:val="0"/>
    <w:pPr>
      <w:outlineLvl w:val="1"/>
    </w:pPr>
  </w:style>
  <w:style w:type="paragraph" w:styleId="4">
    <w:name w:val="heading 3"/>
    <w:basedOn w:val="5"/>
    <w:next w:val="1"/>
    <w:link w:val="28"/>
    <w:qFormat/>
    <w:uiPriority w:val="0"/>
    <w:pPr>
      <w:ind w:left="0" w:leftChars="0" w:firstLine="600" w:firstLineChars="200"/>
      <w:jc w:val="left"/>
      <w:outlineLvl w:val="2"/>
    </w:pPr>
    <w:rPr>
      <w:rFonts w:ascii="黑体" w:hAnsi="黑体" w:eastAsia="黑体" w:cs="Times New Roman"/>
      <w:smallCaps/>
      <w:sz w:val="30"/>
      <w:szCs w:val="30"/>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toc 2"/>
    <w:basedOn w:val="1"/>
    <w:next w:val="1"/>
    <w:semiHidden/>
    <w:unhideWhenUsed/>
    <w:qFormat/>
    <w:uiPriority w:val="39"/>
    <w:pPr>
      <w:ind w:left="420" w:leftChars="200"/>
    </w:pPr>
  </w:style>
  <w:style w:type="paragraph" w:styleId="6">
    <w:name w:val="annotation text"/>
    <w:basedOn w:val="1"/>
    <w:link w:val="29"/>
    <w:unhideWhenUsed/>
    <w:qFormat/>
    <w:uiPriority w:val="99"/>
    <w:pPr>
      <w:jc w:val="left"/>
    </w:pPr>
  </w:style>
  <w:style w:type="paragraph" w:styleId="7">
    <w:name w:val="Body Text"/>
    <w:basedOn w:val="1"/>
    <w:link w:val="24"/>
    <w:semiHidden/>
    <w:unhideWhenUsed/>
    <w:qFormat/>
    <w:uiPriority w:val="99"/>
    <w:pPr>
      <w:spacing w:after="120"/>
    </w:pPr>
  </w:style>
  <w:style w:type="paragraph" w:styleId="8">
    <w:name w:val="Balloon Text"/>
    <w:basedOn w:val="1"/>
    <w:link w:val="25"/>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itle"/>
    <w:basedOn w:val="7"/>
    <w:next w:val="1"/>
    <w:link w:val="23"/>
    <w:qFormat/>
    <w:uiPriority w:val="0"/>
    <w:pPr>
      <w:jc w:val="center"/>
    </w:pPr>
    <w:rPr>
      <w:rFonts w:ascii="仿宋_GB2312" w:hAnsi="仿宋" w:eastAsia="仿宋_GB2312" w:cs="Times New Roman"/>
      <w:szCs w:val="24"/>
    </w:rPr>
  </w:style>
  <w:style w:type="paragraph" w:styleId="13">
    <w:name w:val="annotation subject"/>
    <w:basedOn w:val="6"/>
    <w:next w:val="6"/>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qFormat/>
    <w:uiPriority w:val="99"/>
    <w:rPr>
      <w:sz w:val="18"/>
      <w:szCs w:val="18"/>
    </w:rPr>
  </w:style>
  <w:style w:type="paragraph" w:customStyle="1" w:styleId="20">
    <w:name w:val="Paragraph"/>
    <w:basedOn w:val="1"/>
    <w:qFormat/>
    <w:uiPriority w:val="0"/>
    <w:pPr>
      <w:widowControl/>
      <w:spacing w:after="240"/>
    </w:pPr>
    <w:rPr>
      <w:rFonts w:ascii="Arial" w:hAnsi="Arial" w:eastAsia="宋体" w:cs="Times New Roman"/>
      <w:kern w:val="0"/>
      <w:sz w:val="22"/>
      <w:szCs w:val="20"/>
      <w:lang w:val="en-GB"/>
    </w:rPr>
  </w:style>
  <w:style w:type="paragraph" w:customStyle="1" w:styleId="21">
    <w:name w:val="列出段落1"/>
    <w:basedOn w:val="1"/>
    <w:qFormat/>
    <w:uiPriority w:val="34"/>
    <w:pPr>
      <w:ind w:firstLine="420" w:firstLineChars="200"/>
    </w:pPr>
    <w:rPr>
      <w:rFonts w:ascii="Times New Roman" w:hAnsi="Times New Roman" w:eastAsia="宋体" w:cs="Times New Roman"/>
      <w:szCs w:val="20"/>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标题 字符"/>
    <w:basedOn w:val="16"/>
    <w:link w:val="12"/>
    <w:qFormat/>
    <w:uiPriority w:val="0"/>
    <w:rPr>
      <w:rFonts w:ascii="仿宋_GB2312" w:hAnsi="仿宋" w:eastAsia="仿宋_GB2312" w:cs="Times New Roman"/>
      <w:kern w:val="2"/>
      <w:sz w:val="21"/>
      <w:szCs w:val="24"/>
    </w:rPr>
  </w:style>
  <w:style w:type="character" w:customStyle="1" w:styleId="24">
    <w:name w:val="正文文本 字符"/>
    <w:basedOn w:val="16"/>
    <w:link w:val="7"/>
    <w:semiHidden/>
    <w:qFormat/>
    <w:uiPriority w:val="99"/>
    <w:rPr>
      <w:kern w:val="2"/>
      <w:sz w:val="21"/>
      <w:szCs w:val="22"/>
    </w:rPr>
  </w:style>
  <w:style w:type="character" w:customStyle="1" w:styleId="25">
    <w:name w:val="批注框文本 字符"/>
    <w:basedOn w:val="16"/>
    <w:link w:val="8"/>
    <w:semiHidden/>
    <w:qFormat/>
    <w:uiPriority w:val="99"/>
    <w:rPr>
      <w:kern w:val="2"/>
      <w:sz w:val="18"/>
      <w:szCs w:val="18"/>
    </w:rPr>
  </w:style>
  <w:style w:type="character" w:customStyle="1" w:styleId="26">
    <w:name w:val="标题 2 字符"/>
    <w:basedOn w:val="16"/>
    <w:link w:val="3"/>
    <w:qFormat/>
    <w:uiPriority w:val="0"/>
    <w:rPr>
      <w:rFonts w:ascii="黑体" w:hAnsi="黑体" w:eastAsia="黑体" w:cs="Times New Roman"/>
      <w:smallCaps/>
      <w:kern w:val="2"/>
      <w:sz w:val="30"/>
      <w:szCs w:val="30"/>
    </w:rPr>
  </w:style>
  <w:style w:type="character" w:customStyle="1" w:styleId="27">
    <w:name w:val="标题 1 字符"/>
    <w:basedOn w:val="16"/>
    <w:link w:val="2"/>
    <w:qFormat/>
    <w:uiPriority w:val="9"/>
    <w:rPr>
      <w:rFonts w:ascii="黑体" w:hAnsi="黑体" w:eastAsia="黑体" w:cs="Times New Roman"/>
      <w:bCs/>
      <w:caps/>
      <w:kern w:val="2"/>
      <w:sz w:val="44"/>
      <w:szCs w:val="32"/>
    </w:rPr>
  </w:style>
  <w:style w:type="character" w:customStyle="1" w:styleId="28">
    <w:name w:val="标题 3 字符"/>
    <w:basedOn w:val="16"/>
    <w:link w:val="4"/>
    <w:qFormat/>
    <w:uiPriority w:val="0"/>
    <w:rPr>
      <w:rFonts w:ascii="黑体" w:hAnsi="黑体" w:eastAsia="黑体" w:cs="Times New Roman"/>
      <w:smallCaps/>
      <w:kern w:val="2"/>
      <w:sz w:val="30"/>
      <w:szCs w:val="30"/>
    </w:rPr>
  </w:style>
  <w:style w:type="character" w:customStyle="1" w:styleId="29">
    <w:name w:val="批注文字 字符"/>
    <w:basedOn w:val="16"/>
    <w:link w:val="6"/>
    <w:qFormat/>
    <w:uiPriority w:val="99"/>
    <w:rPr>
      <w:kern w:val="2"/>
      <w:sz w:val="21"/>
      <w:szCs w:val="22"/>
    </w:rPr>
  </w:style>
  <w:style w:type="character" w:customStyle="1" w:styleId="30">
    <w:name w:val="批注主题 字符"/>
    <w:basedOn w:val="29"/>
    <w:link w:val="13"/>
    <w:semiHidden/>
    <w:qFormat/>
    <w:uiPriority w:val="99"/>
    <w:rPr>
      <w:b/>
      <w:bCs/>
      <w:kern w:val="2"/>
      <w:sz w:val="21"/>
      <w:szCs w:val="22"/>
    </w:rPr>
  </w:style>
  <w:style w:type="paragraph" w:customStyle="1" w:styleId="3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3">
    <w:name w:val="Default"/>
    <w:qFormat/>
    <w:uiPriority w:val="0"/>
    <w:pPr>
      <w:ind w:firstLine="800"/>
    </w:pPr>
    <w:rPr>
      <w:rFonts w:ascii="Times" w:hAnsi="Times" w:eastAsia="宋体" w:cs="Arial Unicode MS"/>
      <w:color w:val="333333"/>
      <w:sz w:val="40"/>
      <w:szCs w:val="40"/>
      <w:lang w:val="en-US" w:eastAsia="zh-CN" w:bidi="ar-SA"/>
    </w:rPr>
  </w:style>
  <w:style w:type="paragraph" w:customStyle="1" w:styleId="34">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styleId="35">
    <w:name w:val="Placeholder Text"/>
    <w:basedOn w:val="16"/>
    <w:semiHidden/>
    <w:qFormat/>
    <w:uiPriority w:val="99"/>
    <w:rPr>
      <w:color w:val="808080"/>
    </w:rPr>
  </w:style>
  <w:style w:type="paragraph" w:styleId="36">
    <w:name w:val="List Paragraph"/>
    <w:basedOn w:val="1"/>
    <w:qFormat/>
    <w:uiPriority w:val="99"/>
    <w:pPr>
      <w:ind w:firstLine="420" w:firstLineChars="200"/>
    </w:pPr>
  </w:style>
  <w:style w:type="paragraph" w:customStyle="1" w:styleId="37">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8" Type="http://schemas.openxmlformats.org/officeDocument/2006/relationships/fontTable" Target="fontTable.xml"/><Relationship Id="rId67" Type="http://schemas.openxmlformats.org/officeDocument/2006/relationships/image" Target="media/image48.wmf"/><Relationship Id="rId66" Type="http://schemas.openxmlformats.org/officeDocument/2006/relationships/oleObject" Target="embeddings/oleObject15.bin"/><Relationship Id="rId65" Type="http://schemas.openxmlformats.org/officeDocument/2006/relationships/image" Target="media/image47.wmf"/><Relationship Id="rId64" Type="http://schemas.openxmlformats.org/officeDocument/2006/relationships/oleObject" Target="embeddings/oleObject14.bin"/><Relationship Id="rId63" Type="http://schemas.openxmlformats.org/officeDocument/2006/relationships/image" Target="media/image46.wmf"/><Relationship Id="rId62" Type="http://schemas.openxmlformats.org/officeDocument/2006/relationships/oleObject" Target="embeddings/oleObject13.bin"/><Relationship Id="rId61" Type="http://schemas.openxmlformats.org/officeDocument/2006/relationships/image" Target="media/image45.wmf"/><Relationship Id="rId60" Type="http://schemas.openxmlformats.org/officeDocument/2006/relationships/oleObject" Target="embeddings/oleObject12.bin"/><Relationship Id="rId6" Type="http://schemas.openxmlformats.org/officeDocument/2006/relationships/image" Target="media/image2.wmf"/><Relationship Id="rId59" Type="http://schemas.openxmlformats.org/officeDocument/2006/relationships/image" Target="media/image44.wmf"/><Relationship Id="rId58" Type="http://schemas.openxmlformats.org/officeDocument/2006/relationships/oleObject" Target="embeddings/oleObject11.bin"/><Relationship Id="rId57" Type="http://schemas.openxmlformats.org/officeDocument/2006/relationships/image" Target="media/image43.wmf"/><Relationship Id="rId56" Type="http://schemas.openxmlformats.org/officeDocument/2006/relationships/oleObject" Target="embeddings/oleObject10.bin"/><Relationship Id="rId55" Type="http://schemas.openxmlformats.org/officeDocument/2006/relationships/image" Target="media/image42.wmf"/><Relationship Id="rId54" Type="http://schemas.openxmlformats.org/officeDocument/2006/relationships/oleObject" Target="embeddings/oleObject9.bin"/><Relationship Id="rId53" Type="http://schemas.openxmlformats.org/officeDocument/2006/relationships/image" Target="media/image41.wmf"/><Relationship Id="rId52" Type="http://schemas.openxmlformats.org/officeDocument/2006/relationships/oleObject" Target="embeddings/oleObject8.bin"/><Relationship Id="rId51" Type="http://schemas.openxmlformats.org/officeDocument/2006/relationships/image" Target="media/image40.wmf"/><Relationship Id="rId50" Type="http://schemas.openxmlformats.org/officeDocument/2006/relationships/oleObject" Target="embeddings/oleObject7.bin"/><Relationship Id="rId5" Type="http://schemas.openxmlformats.org/officeDocument/2006/relationships/image" Target="media/image1.wmf"/><Relationship Id="rId49" Type="http://schemas.openxmlformats.org/officeDocument/2006/relationships/image" Target="media/image39.wmf"/><Relationship Id="rId48" Type="http://schemas.openxmlformats.org/officeDocument/2006/relationships/oleObject" Target="embeddings/oleObject6.bin"/><Relationship Id="rId47" Type="http://schemas.openxmlformats.org/officeDocument/2006/relationships/image" Target="media/image38.wmf"/><Relationship Id="rId46" Type="http://schemas.openxmlformats.org/officeDocument/2006/relationships/oleObject" Target="embeddings/oleObject5.bin"/><Relationship Id="rId45" Type="http://schemas.openxmlformats.org/officeDocument/2006/relationships/image" Target="media/image37.wmf"/><Relationship Id="rId44" Type="http://schemas.openxmlformats.org/officeDocument/2006/relationships/oleObject" Target="embeddings/oleObject4.bin"/><Relationship Id="rId43" Type="http://schemas.openxmlformats.org/officeDocument/2006/relationships/image" Target="media/image36.wmf"/><Relationship Id="rId42" Type="http://schemas.openxmlformats.org/officeDocument/2006/relationships/oleObject" Target="embeddings/oleObject3.bin"/><Relationship Id="rId41" Type="http://schemas.openxmlformats.org/officeDocument/2006/relationships/image" Target="media/image35.wmf"/><Relationship Id="rId40" Type="http://schemas.openxmlformats.org/officeDocument/2006/relationships/oleObject" Target="embeddings/oleObject2.bin"/><Relationship Id="rId4" Type="http://schemas.openxmlformats.org/officeDocument/2006/relationships/theme" Target="theme/theme1.xml"/><Relationship Id="rId39" Type="http://schemas.openxmlformats.org/officeDocument/2006/relationships/image" Target="media/image34.wmf"/><Relationship Id="rId38" Type="http://schemas.openxmlformats.org/officeDocument/2006/relationships/image" Target="media/image33.wmf"/><Relationship Id="rId37" Type="http://schemas.openxmlformats.org/officeDocument/2006/relationships/image" Target="media/image32.wmf"/><Relationship Id="rId36" Type="http://schemas.openxmlformats.org/officeDocument/2006/relationships/image" Target="media/image31.wmf"/><Relationship Id="rId35" Type="http://schemas.openxmlformats.org/officeDocument/2006/relationships/image" Target="media/image30.wmf"/><Relationship Id="rId34" Type="http://schemas.openxmlformats.org/officeDocument/2006/relationships/image" Target="media/image29.wmf"/><Relationship Id="rId33" Type="http://schemas.openxmlformats.org/officeDocument/2006/relationships/image" Target="media/image28.wmf"/><Relationship Id="rId32" Type="http://schemas.openxmlformats.org/officeDocument/2006/relationships/image" Target="media/image27.wmf"/><Relationship Id="rId31" Type="http://schemas.openxmlformats.org/officeDocument/2006/relationships/image" Target="media/image26.wmf"/><Relationship Id="rId30" Type="http://schemas.openxmlformats.org/officeDocument/2006/relationships/image" Target="media/image25.wmf"/><Relationship Id="rId3" Type="http://schemas.openxmlformats.org/officeDocument/2006/relationships/footer" Target="footer1.xml"/><Relationship Id="rId29" Type="http://schemas.openxmlformats.org/officeDocument/2006/relationships/image" Target="media/image24.wmf"/><Relationship Id="rId28" Type="http://schemas.openxmlformats.org/officeDocument/2006/relationships/image" Target="media/image23.wmf"/><Relationship Id="rId27" Type="http://schemas.openxmlformats.org/officeDocument/2006/relationships/image" Target="media/image22.wmf"/><Relationship Id="rId26" Type="http://schemas.openxmlformats.org/officeDocument/2006/relationships/image" Target="media/image21.wmf"/><Relationship Id="rId25" Type="http://schemas.openxmlformats.org/officeDocument/2006/relationships/image" Target="media/image20.wmf"/><Relationship Id="rId24" Type="http://schemas.openxmlformats.org/officeDocument/2006/relationships/image" Target="media/image19.wmf"/><Relationship Id="rId23" Type="http://schemas.openxmlformats.org/officeDocument/2006/relationships/image" Target="media/image18.wmf"/><Relationship Id="rId22" Type="http://schemas.openxmlformats.org/officeDocument/2006/relationships/image" Target="media/image17.wmf"/><Relationship Id="rId21" Type="http://schemas.openxmlformats.org/officeDocument/2006/relationships/image" Target="media/image16.wmf"/><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7938</Words>
  <Characters>8370</Characters>
  <Lines>65</Lines>
  <Paragraphs>18</Paragraphs>
  <TotalTime>242</TotalTime>
  <ScaleCrop>false</ScaleCrop>
  <LinksUpToDate>false</LinksUpToDate>
  <CharactersWithSpaces>8381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2023-10-22T08:44:00Z</dcterms:created>
  <dc:creator>liu xiao</dc:creator>
  <cp:lastModifiedBy>李岳蒙</cp:lastModifiedBy>
  <dcterms:modified xsi:type="dcterms:W3CDTF">2023-10-31T12:03:30Z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498FCE9F4CA54E8BAEEFAB222BD5955B</vt:lpwstr>
  </property>
</Properties>
</file>