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spacing w:line="600" w:lineRule="exact"/>
        <w:jc w:val="left"/>
        <w:rPr>
          <w:rFonts w:ascii="黑体" w:hAnsi="黑体" w:eastAsia="黑体" w:cs="黑体"/>
          <w:sz w:val="32"/>
          <w:szCs w:val="30"/>
        </w:rPr>
      </w:pPr>
      <w:r>
        <w:rPr>
          <w:rFonts w:hint="eastAsia" w:ascii="黑体" w:hAnsi="黑体" w:eastAsia="黑体" w:cs="黑体"/>
          <w:sz w:val="32"/>
          <w:szCs w:val="30"/>
        </w:rPr>
        <w:t>附件</w:t>
      </w:r>
      <w:r>
        <w:rPr>
          <w:rFonts w:ascii="黑体" w:hAnsi="黑体" w:eastAsia="黑体" w:cs="黑体"/>
          <w:sz w:val="32"/>
          <w:szCs w:val="30"/>
        </w:rPr>
        <w:t>11</w:t>
      </w:r>
    </w:p>
    <w:p>
      <w:pPr>
        <w:pStyle w:val="18"/>
        <w:spacing w:line="600" w:lineRule="exact"/>
        <w:jc w:val="left"/>
        <w:rPr>
          <w:rFonts w:ascii="黑体" w:hAnsi="黑体" w:eastAsia="黑体" w:cs="黑体"/>
          <w:sz w:val="32"/>
          <w:szCs w:val="30"/>
        </w:rPr>
      </w:pPr>
    </w:p>
    <w:p>
      <w:pPr>
        <w:pStyle w:val="2"/>
        <w:spacing w:before="0" w:after="0" w:line="600" w:lineRule="exact"/>
        <w:ind w:left="0" w:leftChars="0" w:firstLine="0" w:firstLineChars="0"/>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资产证券化风险加权资产计量规则</w:t>
      </w:r>
    </w:p>
    <w:p>
      <w:pPr>
        <w:widowControl w:val="0"/>
        <w:spacing w:after="0" w:line="600" w:lineRule="exact"/>
        <w:ind w:firstLine="640" w:firstLineChars="200"/>
        <w:jc w:val="both"/>
        <w:rPr>
          <w:rFonts w:ascii="仿宋" w:hAnsi="仿宋" w:eastAsia="仿宋"/>
          <w:kern w:val="2"/>
          <w:sz w:val="32"/>
          <w:szCs w:val="32"/>
        </w:rPr>
      </w:pPr>
    </w:p>
    <w:p>
      <w:pPr>
        <w:pStyle w:val="3"/>
        <w:spacing w:line="600" w:lineRule="exact"/>
        <w:ind w:left="0" w:leftChars="0"/>
      </w:pPr>
      <w:r>
        <w:rPr>
          <w:rFonts w:hint="eastAsia"/>
        </w:rPr>
        <w:t>一、计量范围和总体要求</w:t>
      </w:r>
    </w:p>
    <w:p>
      <w:pPr>
        <w:spacing w:after="0" w:line="480" w:lineRule="exact"/>
        <w:ind w:firstLine="600" w:firstLineChars="200"/>
        <w:rPr>
          <w:rFonts w:ascii="仿宋_GB2312" w:eastAsia="仿宋_GB2312"/>
          <w:sz w:val="30"/>
          <w:szCs w:val="30"/>
        </w:rPr>
      </w:pPr>
      <w:r>
        <w:rPr>
          <w:rFonts w:hint="eastAsia" w:ascii="仿宋_GB2312" w:eastAsia="仿宋_GB2312"/>
          <w:sz w:val="30"/>
          <w:szCs w:val="30"/>
        </w:rPr>
        <w:t>（一）资产证券化交易包括传统型资产证券化、合成型资产证券化交易以及兼具两种类型共同特点的资产证券化交易。</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传统型资产证券化是指基础资产的信用风险通过资产转让、信托等方式全部或部分转移给投资者，基础资产的现金流用以支付至少两个不同信用风险档次的证券的资产证券化交易。</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合成型资产证券化是指基础资产的信用风险通过信用衍生工具或者保证全部或部分转移给投资者的资产证券化交易。该交易结构中至少具有两个不同信用风险档次的证券。信用衍生工具包括资金来源预置型和资金来源非预置型两种类型。</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二）商业银行因从事资产证券化业务而形成的表内外风险暴露称为资产证券化风险暴露。资产证券化风险暴露包括但不限于资产支持证券、住房抵押贷款证券、信用增级、流动性便利、利率或货币互换、信用衍生工具和分档次抵补。</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储备账户如果作为发起机构的资产，应当视同于资产证券化风险暴露。储备账户包括但不限于现金抵押账户和利差账户。</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（三）为充分抵御因从事资产证券化业务而承担的风险，商业银行应当基于交易的经济实质，而不仅限于法律形式计量监管资本。</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国家金融监督管理总局有权根据交易经济实质，判断商业银行是否持有资产证券化风险暴露，并确定应当如何计量资本。</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（四）商业银行资产证券化风险暴露金额按照如下规定确定：</w:t>
      </w:r>
    </w:p>
    <w:p>
      <w:pPr>
        <w:widowControl w:val="0"/>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1.表内资产证券化风险暴露为扣除专门针对该资产证券化风险暴露所计提的减值准备后的账面价值。</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2.表外资产证券化风险暴露按如下方法计算：</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（1）商业银行买入或卖出信用</w:t>
      </w:r>
      <w:r>
        <w:rPr>
          <w:rFonts w:ascii="仿宋_GB2312" w:eastAsia="仿宋_GB2312"/>
          <w:sz w:val="30"/>
          <w:szCs w:val="30"/>
        </w:rPr>
        <w:t>风险缓释</w:t>
      </w:r>
      <w:r>
        <w:rPr>
          <w:rFonts w:hint="eastAsia" w:ascii="仿宋_GB2312" w:eastAsia="仿宋_GB2312"/>
          <w:sz w:val="30"/>
          <w:szCs w:val="30"/>
        </w:rPr>
        <w:t>工具，按本附件第二部分信用风险缓释的规定计算风险暴露。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（2）信用风险缓释工具以外的其他表外证券化风险暴露，按其表外名义金额扣除减值准备后乘以1</w:t>
      </w:r>
      <w:r>
        <w:rPr>
          <w:rFonts w:ascii="仿宋_GB2312" w:eastAsia="仿宋_GB2312"/>
          <w:sz w:val="30"/>
          <w:szCs w:val="30"/>
        </w:rPr>
        <w:t>00</w:t>
      </w:r>
      <w:r>
        <w:rPr>
          <w:rFonts w:hint="eastAsia" w:ascii="仿宋_GB2312" w:eastAsia="仿宋_GB2312"/>
          <w:sz w:val="30"/>
          <w:szCs w:val="30"/>
        </w:rPr>
        <w:t>%信用转换系数计算。如果支持便利提供方的全额受偿顺序优于基础资产池支持的其他债权，且该支持便利是可随时无条件撤销的，则其未提取部分可采用信用风险权重法下可随时无条件撤销的贷款承诺的信用转换系数，否则应采用</w:t>
      </w:r>
      <w:r>
        <w:rPr>
          <w:rFonts w:ascii="仿宋_GB2312" w:eastAsia="仿宋_GB2312"/>
          <w:sz w:val="30"/>
          <w:szCs w:val="30"/>
        </w:rPr>
        <w:t>100%</w:t>
      </w:r>
      <w:r>
        <w:rPr>
          <w:rFonts w:hint="eastAsia" w:ascii="仿宋_GB2312" w:eastAsia="仿宋_GB2312"/>
          <w:sz w:val="30"/>
          <w:szCs w:val="30"/>
        </w:rPr>
        <w:t>的信用转换系数。</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（3）买入或卖出除信用衍生工具以外的衍生工具，例如利率或汇率互换，按交易对手信用风险框架计算风险暴露。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（五）对于传统型资产证券化交易，在符合下列所有条件的情况下，发起机构才能在计量风险加权资产时扣减证券化基础资产：</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.与被转让资产相关的重大信用风险已经转移给了独立的第三方机构。</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.发起机构对被转让的资产不再拥有实际的或间接的控制。</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发起机构证明对被转让的资产不再拥有实际的或间接的控制，至少需要由执业律师出具法律意见书，表明发起机构与被转让的资产实现了破产隔离。</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发起机构对被转让的资产保留实际的或间接的控制，包括但不限于：</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）发起机构为了获利，可以赎回被转让的资产。因基础资产被发现在初始起算日不符合信托合同约定的范围、种类、标准和状况而被要求赎回或置换的情况除外，因清仓回购交易赎回的除外。</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）发起机构有义务承担被转让资产的信用风险。发起机构保留对被转让资产的服务权不必然构成间接控制。</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.发起机构对资产证券化的投资机构不承担偿付义务和责任，投资机构只能对基础资产进行追索。</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.基础资产已转移给特殊目的实体，且特殊目的实体的受益权持有人有权对受益权进行质押或交易。</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.在信托合同和资产证券化其他相关法律文件中不得包括下列条款：</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）要求发起机构改变资产池中的资产，以提高资产池的信用质量，但通过市场价格向独立的第三方机构转让资产除外。</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）在基础资产转让之后，仍然允许发起机构追加承担第一损失责任或者增加信用增级的支持程度。</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）在资产池信用质量下降的情况下，增加向除发起机构以外的其他机构（如投资机构、信用增级机构等）支付的收益。</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.清仓回购应符合本附件第六部分第（一）条规定的条件。</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.除符合本附件第六部分第（一）条的清仓回购、税收或监管特定变化引起的终止，以及符合本附件第六部分第（二）条的提前摊还条款外，不存在其他发起机构有权提前终止或其他触发机制。</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在符合上述1至7项条件的情况下，发起机构仍应当按照本附件规定，为所持有的证券化风险暴露计量资本。在上述1至7项条件中任何一项不符合的情况下，发起机构都应当按照未进行资产证券化计量资本。</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（六）对于合成型资产证券化交易，只有在符合下列所有条件的情况下，发起机构才能在计量证券化基础资产监管资本时认可信用风险缓释工具的信用风险缓释作用：</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.信用风险缓释工具符合本办法</w:t>
      </w:r>
      <w:r>
        <w:rPr>
          <w:rFonts w:hint="eastAsia" w:ascii="仿宋_GB2312" w:eastAsia="仿宋_GB2312"/>
          <w:sz w:val="30"/>
          <w:szCs w:val="30"/>
          <w:lang w:eastAsia="zh-CN"/>
        </w:rPr>
        <w:t>附件3</w:t>
      </w:r>
      <w:r>
        <w:rPr>
          <w:rFonts w:hint="eastAsia" w:ascii="仿宋_GB2312" w:eastAsia="仿宋_GB2312"/>
          <w:sz w:val="30"/>
          <w:szCs w:val="30"/>
        </w:rPr>
        <w:t>的相关要求。</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.合格抵质押品仅限于本办法</w:t>
      </w:r>
      <w:r>
        <w:rPr>
          <w:rFonts w:hint="eastAsia" w:ascii="仿宋_GB2312" w:eastAsia="仿宋_GB2312"/>
          <w:sz w:val="30"/>
          <w:szCs w:val="30"/>
          <w:lang w:eastAsia="zh-CN"/>
        </w:rPr>
        <w:t>附件3</w:t>
      </w:r>
      <w:r>
        <w:rPr>
          <w:rFonts w:hint="eastAsia" w:ascii="仿宋_GB2312" w:eastAsia="仿宋_GB2312"/>
          <w:sz w:val="30"/>
          <w:szCs w:val="30"/>
        </w:rPr>
        <w:t>所规定的合格金融抵质押品。由特殊目的实体所抵质押的合格抵质押品可以视为合格抵质押品。</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.合格保证和合格信用衍生工具仅限于本办法</w:t>
      </w:r>
      <w:r>
        <w:rPr>
          <w:rFonts w:hint="eastAsia" w:ascii="仿宋_GB2312" w:eastAsia="仿宋_GB2312"/>
          <w:sz w:val="30"/>
          <w:szCs w:val="30"/>
          <w:lang w:eastAsia="zh-CN"/>
        </w:rPr>
        <w:t>附件3</w:t>
      </w:r>
      <w:r>
        <w:rPr>
          <w:rFonts w:hint="eastAsia" w:ascii="仿宋_GB2312" w:eastAsia="仿宋_GB2312"/>
          <w:sz w:val="30"/>
          <w:szCs w:val="30"/>
        </w:rPr>
        <w:t>所规定的合格保证和合格信用衍生工具。特殊目的实体不被视为合格保证人。</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.发起机构必须将基础资产的重大信用风险转移给独立的第三方机构。</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.信用风险缓释工具的相关合同文件不得包含限制信用风险转移数量的条件和条款，包括但不限于以下情形：</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）在信用损失事件发生或资产池信用质量下降的时候，实质性限制信用保护或信用风险转移程度。</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）要求发起机构改变资产池中的资产，以提高资产池的信用质量。</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（3）在资产池信用质量下降的情况下，增加发起机构的信用保护成本。</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）在资产池信用质量下降的情况下，增加向除发起机构以外的其他参与机构（如投资机构、信用增级机构等）支付的收益。</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）在资产证券化交易开始之后，仍然允许发起机构追加承担第一损失责任或者增加信用增级的支持程度。</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.资产证券化交易必须由执业律师出具法律意见书，确认相关合同在所有相关国家或者地区的执行效力。</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.清仓回购应符合本附件第六部分第（一）条规定的条件。</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在符合上述1至7项条件的情况下，发起机构仍应当按照本附件规定，为所持有的证券化风险暴露计量资本。在上述1至7项条件中任何一项不符合的情况下，发起机构在计量证券化基础资产监管资本时均不得认可信用风险缓释工具的信用风险缓释作用。</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（七）对不符合以下条件的资产证券化风险暴露，商业银行</w:t>
      </w:r>
      <w:r>
        <w:rPr>
          <w:rFonts w:hint="eastAsia" w:ascii="Segoe UI Symbol" w:hAnsi="Segoe UI Symbol" w:eastAsia="仿宋_GB2312" w:cs="Segoe UI Symbol"/>
          <w:sz w:val="30"/>
          <w:szCs w:val="30"/>
        </w:rPr>
        <w:t>只可采用</w:t>
      </w:r>
      <w:r>
        <w:rPr>
          <w:rFonts w:hint="eastAsia" w:ascii="仿宋_GB2312" w:hAnsi="Segoe UI Symbol" w:eastAsia="仿宋_GB2312" w:cs="Segoe UI Symbol"/>
          <w:sz w:val="30"/>
          <w:szCs w:val="30"/>
        </w:rPr>
        <w:t>1250%</w:t>
      </w:r>
      <w:r>
        <w:rPr>
          <w:rFonts w:hint="eastAsia" w:ascii="Segoe UI Symbol" w:hAnsi="Segoe UI Symbol" w:eastAsia="仿宋_GB2312" w:cs="Segoe UI Symbol"/>
          <w:sz w:val="30"/>
          <w:szCs w:val="30"/>
        </w:rPr>
        <w:t>的风险权重计量监管资本要求</w:t>
      </w:r>
      <w:r>
        <w:rPr>
          <w:rFonts w:hint="eastAsia" w:ascii="仿宋_GB2312" w:eastAsia="仿宋_GB2312"/>
          <w:sz w:val="30"/>
          <w:szCs w:val="30"/>
        </w:rPr>
        <w:t>：</w:t>
      </w:r>
    </w:p>
    <w:p>
      <w:pPr>
        <w:tabs>
          <w:tab w:val="left" w:pos="1530"/>
        </w:tabs>
        <w:spacing w:after="0" w:line="480" w:lineRule="exact"/>
        <w:ind w:firstLine="600" w:firstLineChars="200"/>
        <w:jc w:val="both"/>
        <w:rPr>
          <w:rFonts w:ascii="仿宋_GB2312" w:hAnsi="Arial" w:eastAsia="仿宋_GB2312" w:cs="宋体"/>
          <w:sz w:val="30"/>
          <w:szCs w:val="30"/>
        </w:rPr>
      </w:pPr>
      <w:r>
        <w:rPr>
          <w:rFonts w:hint="eastAsia" w:ascii="仿宋_GB2312" w:hAnsi="Arial" w:eastAsia="仿宋_GB2312" w:cs="宋体"/>
          <w:sz w:val="30"/>
          <w:szCs w:val="30"/>
        </w:rPr>
        <w:t>1.商业银行应当持续、全面了解其表内外资产证券化风险暴露及基础资产的风险特征。</w:t>
      </w:r>
    </w:p>
    <w:p>
      <w:pPr>
        <w:spacing w:after="0" w:line="480" w:lineRule="exact"/>
        <w:ind w:firstLine="600" w:firstLineChars="200"/>
        <w:jc w:val="both"/>
        <w:rPr>
          <w:rFonts w:ascii="仿宋_GB2312" w:hAnsi="Arial" w:eastAsia="仿宋_GB2312" w:cs="宋体"/>
          <w:sz w:val="30"/>
          <w:szCs w:val="30"/>
        </w:rPr>
      </w:pPr>
      <w:r>
        <w:rPr>
          <w:rFonts w:hint="eastAsia" w:ascii="仿宋_GB2312" w:hAnsi="Arial" w:eastAsia="仿宋_GB2312" w:cs="宋体"/>
          <w:sz w:val="30"/>
          <w:szCs w:val="30"/>
        </w:rPr>
        <w:t>2.商业银行</w:t>
      </w:r>
      <w:r>
        <w:rPr>
          <w:rFonts w:hint="eastAsia" w:ascii="仿宋_GB2312" w:eastAsia="仿宋_GB2312"/>
          <w:sz w:val="30"/>
          <w:szCs w:val="30"/>
        </w:rPr>
        <w:t>在投资时和证券持有期内，应当能够及时、持续获取基础资产的相关信息</w:t>
      </w:r>
      <w:r>
        <w:rPr>
          <w:rFonts w:hint="eastAsia" w:ascii="仿宋_GB2312" w:hAnsi="Arial" w:eastAsia="仿宋_GB2312" w:cs="宋体"/>
          <w:sz w:val="30"/>
          <w:szCs w:val="30"/>
        </w:rPr>
        <w:t>，包括资产类别、借款人资信状况、</w:t>
      </w:r>
      <w:r>
        <w:rPr>
          <w:rFonts w:hint="eastAsia" w:ascii="仿宋_GB2312" w:eastAsia="仿宋_GB2312"/>
          <w:sz w:val="30"/>
          <w:szCs w:val="30"/>
        </w:rPr>
        <w:t>各类</w:t>
      </w:r>
      <w:r>
        <w:rPr>
          <w:rFonts w:hint="eastAsia" w:ascii="仿宋_GB2312" w:hAnsi="Arial" w:eastAsia="仿宋_GB2312" w:cs="宋体"/>
          <w:sz w:val="30"/>
          <w:szCs w:val="30"/>
        </w:rPr>
        <w:t>逾期资产占比、违约率、提前还款率、基础资产抵质押品类别及其权属状况、平均抵质押率以及行业和地域分布情况等。</w:t>
      </w:r>
      <w:r>
        <w:rPr>
          <w:rFonts w:hint="eastAsia" w:ascii="仿宋_GB2312" w:eastAsia="仿宋_GB2312"/>
          <w:sz w:val="30"/>
          <w:szCs w:val="30"/>
        </w:rPr>
        <w:t>对于再资产证券化风险暴露，商业银行应获取发行人、资信状况、基础资产池风险特征等相关信息。</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3.商业银行应全面了解可能对其持有的资产证券化风险暴露产生重大影响的资产证券化交易的结构特征，包括信用增级、流动性便利、与交易有关的违约定义、各种触发机制和资产支持证券偿付安排等。</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八）符合本附件第八部分“简单、透明、可比”标准的风险暴露，可采用“简单、透明、可比”规则计量风险加权资产。商业银行需进行尽职调查以评估确认风险暴露是否符合标准。国家金融监督管理总局或其派出机构将在监管检查中对使用“</w:t>
      </w:r>
      <w:r>
        <w:rPr>
          <w:rFonts w:ascii="仿宋_GB2312" w:eastAsia="仿宋_GB2312"/>
          <w:sz w:val="30"/>
          <w:szCs w:val="30"/>
        </w:rPr>
        <w:t>简单、透明、可比</w:t>
      </w:r>
      <w:r>
        <w:rPr>
          <w:rFonts w:hint="eastAsia" w:ascii="仿宋_GB2312" w:eastAsia="仿宋_GB2312"/>
          <w:sz w:val="30"/>
          <w:szCs w:val="30"/>
        </w:rPr>
        <w:t>”资本规则的商业银行进行检查，如发现未完全符合标准，国家金融监督管理总局或其派出机构有权要求商业银行取消“简单、透明、可比”相关资本优惠。</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符合“</w:t>
      </w:r>
      <w:r>
        <w:rPr>
          <w:rFonts w:ascii="仿宋_GB2312" w:eastAsia="仿宋_GB2312"/>
          <w:sz w:val="30"/>
          <w:szCs w:val="30"/>
        </w:rPr>
        <w:t>简单、透明、可比</w:t>
      </w:r>
      <w:r>
        <w:rPr>
          <w:rFonts w:hint="eastAsia" w:ascii="仿宋_GB2312" w:eastAsia="仿宋_GB2312"/>
          <w:sz w:val="30"/>
          <w:szCs w:val="30"/>
        </w:rPr>
        <w:t>”标准的风险暴露需在存续期间持续满足标准。对基础资产动态变化的产品，商业银行</w:t>
      </w:r>
      <w:r>
        <w:rPr>
          <w:rFonts w:ascii="仿宋_GB2312" w:eastAsia="仿宋_GB2312"/>
          <w:sz w:val="30"/>
          <w:szCs w:val="30"/>
        </w:rPr>
        <w:t>应</w:t>
      </w:r>
      <w:r>
        <w:rPr>
          <w:rFonts w:hint="eastAsia" w:ascii="仿宋_GB2312" w:eastAsia="仿宋_GB2312"/>
          <w:sz w:val="30"/>
          <w:szCs w:val="30"/>
        </w:rPr>
        <w:t>及时重新评估。</w:t>
      </w:r>
    </w:p>
    <w:p>
      <w:pPr>
        <w:pStyle w:val="3"/>
        <w:ind w:left="0" w:leftChars="0"/>
      </w:pPr>
      <w:r>
        <w:rPr>
          <w:rFonts w:hint="eastAsia"/>
        </w:rPr>
        <w:t>二、资本计量框架</w:t>
      </w:r>
    </w:p>
    <w:p>
      <w:pPr>
        <w:widowControl w:val="0"/>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（一）商业银行作为资产证券化发起机构、信用增级机构、流动性便利提供机构、投资机构或者贷款服务机构等从事资产证券化业务，只要产生了资产证券化风险暴露，就应计量相应的监管资本。</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（二）资产证券化风险暴露的风险加权资产由风险暴露金额乘以按本附件规定计算的风险权重得到。风险权重计算方法包括资产证券化内部评级法、资产证券化外部评级法和资产证券化标准法。</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（三）商业银行应根据基础资产特征和银行可获取信息的程度，按如下规定确定风险权重的计算方法：</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.如果对资产证券化交易的全部基础资产，商业银行均经国家金融监督管理总局或其派出机构验收通过使用信用风险内部评级法计量信用风险，并具备报告日</w:t>
      </w:r>
      <w:r>
        <w:rPr>
          <w:rFonts w:ascii="仿宋_GB2312" w:eastAsia="仿宋_GB2312"/>
          <w:sz w:val="30"/>
          <w:szCs w:val="30"/>
        </w:rPr>
        <w:t>计量所需数据</w:t>
      </w:r>
      <w:r>
        <w:rPr>
          <w:rFonts w:hint="eastAsia" w:ascii="仿宋_GB2312" w:eastAsia="仿宋_GB2312"/>
          <w:sz w:val="30"/>
          <w:szCs w:val="30"/>
        </w:rPr>
        <w:t>，则该资产证券化交易的基础资产池称为“内评法资产池”。对基于“内评法资产池”的资产证券化风险暴露，经国家金融监督管理总局或其派出机构验收通过后，应采用资产证券化内部评级法计算风险权重，否则应按照“标准法资产池”的相关规定，采用资产证券化外部评级法或标准法计算风险权重。</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.如果对资产证券化交易的全部基础资产，商业银行均未经国家金融监督管理总局或其派出机构验收通过使用信用风险内部评级法计量信用风险，或商业银行不具备报告日计量</w:t>
      </w:r>
      <w:r>
        <w:rPr>
          <w:rFonts w:ascii="仿宋_GB2312" w:eastAsia="仿宋_GB2312"/>
          <w:sz w:val="30"/>
          <w:szCs w:val="30"/>
        </w:rPr>
        <w:t>所需数据</w:t>
      </w:r>
      <w:r>
        <w:rPr>
          <w:rFonts w:hint="eastAsia" w:ascii="仿宋_GB2312" w:eastAsia="仿宋_GB2312"/>
          <w:sz w:val="30"/>
          <w:szCs w:val="30"/>
        </w:rPr>
        <w:t>，则该资产证券化交易的基础资产池称为“标准法资产池”。对基于“标准法资产池”的证券化风险暴露，如果存在满足本附件外部评级使用标准的合格外部评级，或没有合格外部评级但存在满足本附件推测评级使用标准的推测评级，则应采用资产证券化外部评级法计算风险权重，否则应采用资产证券化标准法。</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如果资产证券化交易的基础资产中，部分资产经国家金融监督管理总局或其派出机构验收通过使用信用风险内部评级法并商业银行具备报告日计量所需数据，部分资产未经国家金融监督管理总局或其派出机构验收通过使用信用风险内部评级法或商业银行不具备计量</w:t>
      </w:r>
      <w:r>
        <w:rPr>
          <w:rFonts w:ascii="仿宋_GB2312" w:eastAsia="仿宋_GB2312"/>
          <w:sz w:val="30"/>
          <w:szCs w:val="30"/>
        </w:rPr>
        <w:t>所需数据</w:t>
      </w:r>
      <w:r>
        <w:rPr>
          <w:rFonts w:hint="eastAsia" w:ascii="仿宋_GB2312" w:eastAsia="仿宋_GB2312"/>
          <w:sz w:val="30"/>
          <w:szCs w:val="30"/>
        </w:rPr>
        <w:t>，则该资产证券化交易的基础资产池称为“混合资产池”。对基于“混合资产池”的证券化风险暴露，应按以下规定计算风险权重：</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（1）如果信用风险内部评级法部分占比超过95%（含），则按照“内评法资产池”相关规定，适用资产证券化内部评级法。</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（2）如果信用风险内部评级法部分占比低于95%，则按照“标准法资产池”的相关规定，根据是否存在合格外部评级或推测评级，采用资产证券化外部评级法或标准法计算风险权重。</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4.当上述三种方法均不适用时，商业银行应采用1250%的风险权重计算风险加权资产。</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（四）资产证券化风险暴露的风险权重下限为</w:t>
      </w:r>
      <w:r>
        <w:rPr>
          <w:rFonts w:ascii="仿宋_GB2312" w:eastAsia="仿宋_GB2312"/>
          <w:sz w:val="30"/>
          <w:szCs w:val="30"/>
        </w:rPr>
        <w:t>15%</w:t>
      </w:r>
      <w:r>
        <w:rPr>
          <w:rFonts w:hint="eastAsia" w:ascii="仿宋_GB2312" w:eastAsia="仿宋_GB2312"/>
          <w:sz w:val="30"/>
          <w:szCs w:val="30"/>
        </w:rPr>
        <w:t>。</w:t>
      </w:r>
      <w:r>
        <w:rPr>
          <w:rFonts w:ascii="仿宋_GB2312" w:eastAsia="仿宋_GB2312"/>
          <w:sz w:val="30"/>
          <w:szCs w:val="30"/>
        </w:rPr>
        <w:t>符合“简单、透明、可比”标准的资产证券化</w:t>
      </w:r>
      <w:r>
        <w:rPr>
          <w:rFonts w:hint="eastAsia" w:ascii="仿宋_GB2312" w:eastAsia="仿宋_GB2312"/>
          <w:sz w:val="30"/>
          <w:szCs w:val="30"/>
        </w:rPr>
        <w:t>交易</w:t>
      </w:r>
      <w:r>
        <w:rPr>
          <w:rFonts w:ascii="仿宋_GB2312" w:eastAsia="仿宋_GB2312"/>
          <w:sz w:val="30"/>
          <w:szCs w:val="30"/>
        </w:rPr>
        <w:t>，</w:t>
      </w:r>
      <w:r>
        <w:rPr>
          <w:rFonts w:hint="eastAsia" w:ascii="仿宋_GB2312" w:eastAsia="仿宋_GB2312"/>
          <w:sz w:val="30"/>
          <w:szCs w:val="30"/>
        </w:rPr>
        <w:t>优先档次的</w:t>
      </w:r>
      <w:r>
        <w:rPr>
          <w:rFonts w:ascii="仿宋_GB2312" w:eastAsia="仿宋_GB2312"/>
          <w:sz w:val="30"/>
          <w:szCs w:val="30"/>
        </w:rPr>
        <w:t>风险权重</w:t>
      </w:r>
      <w:r>
        <w:rPr>
          <w:rFonts w:hint="eastAsia" w:ascii="仿宋_GB2312" w:eastAsia="仿宋_GB2312"/>
          <w:sz w:val="30"/>
          <w:szCs w:val="30"/>
        </w:rPr>
        <w:t>下限为</w:t>
      </w:r>
      <w:r>
        <w:rPr>
          <w:rFonts w:ascii="仿宋_GB2312" w:eastAsia="仿宋_GB2312"/>
          <w:sz w:val="30"/>
          <w:szCs w:val="30"/>
        </w:rPr>
        <w:t>10%，</w:t>
      </w:r>
      <w:r>
        <w:rPr>
          <w:rFonts w:hint="eastAsia" w:ascii="仿宋_GB2312" w:eastAsia="仿宋_GB2312"/>
          <w:sz w:val="30"/>
          <w:szCs w:val="30"/>
        </w:rPr>
        <w:t>其他</w:t>
      </w:r>
      <w:r>
        <w:rPr>
          <w:rFonts w:ascii="仿宋_GB2312" w:eastAsia="仿宋_GB2312"/>
          <w:sz w:val="30"/>
          <w:szCs w:val="30"/>
        </w:rPr>
        <w:t>档次</w:t>
      </w:r>
      <w:r>
        <w:rPr>
          <w:rFonts w:hint="eastAsia" w:ascii="仿宋_GB2312" w:eastAsia="仿宋_GB2312"/>
          <w:sz w:val="30"/>
          <w:szCs w:val="30"/>
        </w:rPr>
        <w:t>的</w:t>
      </w:r>
      <w:r>
        <w:rPr>
          <w:rFonts w:ascii="仿宋_GB2312" w:eastAsia="仿宋_GB2312"/>
          <w:sz w:val="30"/>
          <w:szCs w:val="30"/>
        </w:rPr>
        <w:t>风险权重</w:t>
      </w:r>
      <w:r>
        <w:rPr>
          <w:rFonts w:hint="eastAsia" w:ascii="仿宋_GB2312" w:eastAsia="仿宋_GB2312"/>
          <w:sz w:val="30"/>
          <w:szCs w:val="30"/>
        </w:rPr>
        <w:t>下限为</w:t>
      </w:r>
      <w:r>
        <w:rPr>
          <w:rFonts w:ascii="仿宋_GB2312" w:eastAsia="仿宋_GB2312"/>
          <w:sz w:val="30"/>
          <w:szCs w:val="30"/>
        </w:rPr>
        <w:t>15%。</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此外，资产证券化外部评级法下，</w:t>
      </w:r>
      <w:r>
        <w:rPr>
          <w:rFonts w:ascii="仿宋_GB2312" w:eastAsia="仿宋_GB2312"/>
          <w:sz w:val="30"/>
          <w:szCs w:val="30"/>
        </w:rPr>
        <w:t>风险权重不</w:t>
      </w:r>
      <w:r>
        <w:rPr>
          <w:rFonts w:hint="eastAsia" w:ascii="仿宋_GB2312" w:eastAsia="仿宋_GB2312"/>
          <w:sz w:val="30"/>
          <w:szCs w:val="30"/>
        </w:rPr>
        <w:t>得</w:t>
      </w:r>
      <w:r>
        <w:rPr>
          <w:rFonts w:ascii="仿宋_GB2312" w:eastAsia="仿宋_GB2312"/>
          <w:sz w:val="30"/>
          <w:szCs w:val="30"/>
        </w:rPr>
        <w:t>低于</w:t>
      </w:r>
      <w:r>
        <w:rPr>
          <w:rFonts w:hint="eastAsia" w:ascii="仿宋_GB2312" w:eastAsia="仿宋_GB2312"/>
          <w:sz w:val="30"/>
          <w:szCs w:val="30"/>
        </w:rPr>
        <w:t>同一交易中</w:t>
      </w:r>
      <w:r>
        <w:rPr>
          <w:rFonts w:ascii="仿宋_GB2312" w:eastAsia="仿宋_GB2312"/>
          <w:sz w:val="30"/>
          <w:szCs w:val="30"/>
        </w:rPr>
        <w:t>评级和期限</w:t>
      </w:r>
      <w:r>
        <w:rPr>
          <w:rFonts w:hint="eastAsia" w:ascii="仿宋_GB2312" w:eastAsia="仿宋_GB2312"/>
          <w:sz w:val="30"/>
          <w:szCs w:val="30"/>
        </w:rPr>
        <w:t>相同的更高档次的</w:t>
      </w:r>
      <w:r>
        <w:rPr>
          <w:rFonts w:ascii="仿宋_GB2312" w:eastAsia="仿宋_GB2312"/>
          <w:sz w:val="30"/>
          <w:szCs w:val="30"/>
        </w:rPr>
        <w:t>风险权重。</w:t>
      </w:r>
      <w:r>
        <w:rPr>
          <w:rFonts w:hint="eastAsia" w:ascii="仿宋_GB2312" w:eastAsia="仿宋_GB2312"/>
          <w:sz w:val="30"/>
          <w:szCs w:val="30"/>
        </w:rPr>
        <w:t>资产证券化标准法下，未评级的非优先档次的风险权重不应低于有评级的更高档次的风险权重。</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（五）如果资产证券化风险暴露对资产池全部资产享有最优先的受偿权利，该资产证券化风险暴露可作为优先档次的资产证券化风险暴露。</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于传统型资产证券化交易，如果第一损失责任以上所有档次的资产证券化风险暴露都有评级，则评级最高的是优先档次；如果某几个档次的资产证券化风险暴露评级相同，则其中受偿顺序最优先的为优先档次；如果某几个档次受偿顺序、评级等均相同，仅档次剩余期限不同，则它们同为优先档次，档次剩余期限差异已在计量方法中有所反映。</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对于合成型资产证券化交易，如果符合本附件第四部分第（五）条所规定的条件，则超高档次为优先档次。</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资产支持商业票据中，如果流动性便利能够覆盖所有未偿还的商业票据以及其他由资产池支持的优先级债权，且全额享有最优先的受偿权利，则流动性便利为优先档次。</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（六）如果商业银行持续掌握基础资产池的构成情况，则可对优先档次风险暴露采用</w:t>
      </w:r>
      <w:r>
        <w:rPr>
          <w:rFonts w:ascii="仿宋_GB2312" w:eastAsia="仿宋_GB2312"/>
          <w:sz w:val="30"/>
          <w:szCs w:val="30"/>
        </w:rPr>
        <w:t>“</w:t>
      </w:r>
      <w:r>
        <w:rPr>
          <w:rFonts w:hint="eastAsia" w:ascii="仿宋_GB2312" w:eastAsia="仿宋_GB2312"/>
          <w:sz w:val="30"/>
          <w:szCs w:val="30"/>
        </w:rPr>
        <w:t>穿透</w:t>
      </w:r>
      <w:r>
        <w:rPr>
          <w:rFonts w:ascii="仿宋_GB2312" w:eastAsia="仿宋_GB2312"/>
          <w:sz w:val="30"/>
          <w:szCs w:val="30"/>
        </w:rPr>
        <w:t>”</w:t>
      </w:r>
      <w:r>
        <w:rPr>
          <w:rFonts w:hint="eastAsia" w:ascii="仿宋_GB2312" w:eastAsia="仿宋_GB2312"/>
          <w:sz w:val="30"/>
          <w:szCs w:val="30"/>
        </w:rPr>
        <w:t>法，以基础资产池的加权平均风险权重为上限。若该上限低于本部分第（四）条所规定的风险权重下限，可不受相关下限约束。</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如果基础资产池为“标准法资产池”或“内评法资产池”，则优先档次风险权重上限分别为基础资产池采用信用风险权重法或内部评级法计算的加权平均风险权重。</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如果基础资产池为“混合资产池”</w:t>
      </w:r>
      <w:r>
        <w:rPr>
          <w:rFonts w:ascii="仿宋_GB2312" w:eastAsia="仿宋_GB2312"/>
          <w:sz w:val="30"/>
          <w:szCs w:val="30"/>
        </w:rPr>
        <w:t>,</w:t>
      </w:r>
      <w:r>
        <w:rPr>
          <w:rFonts w:hint="eastAsia" w:ascii="仿宋_GB2312" w:eastAsia="仿宋_GB2312"/>
          <w:sz w:val="30"/>
          <w:szCs w:val="30"/>
        </w:rPr>
        <w:t>则应区分以下情况：</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1.如果信用风险内部评级法部分占比超过95%（含），则优先档次风险权重上限为信用风险权重法部分按权重法计算的风险权重上限和内部评级法部分按内部评级法计算的风险权重上限的加权平均值。</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2.如果信用风险内部评级法部分占比低于95%，则优先档次风险权重上限为基础资产池采用信用风险权重法计算的加权平均风险权重。</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使用信用风险内部评级法的资产，监管资本应包含预期损失，必要时包含稀释风险。</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（七）使用资产证券化内部评级法</w:t>
      </w:r>
      <w:r>
        <w:rPr>
          <w:rFonts w:ascii="仿宋_GB2312" w:eastAsia="仿宋_GB2312"/>
          <w:sz w:val="30"/>
          <w:szCs w:val="30"/>
        </w:rPr>
        <w:t>的</w:t>
      </w:r>
      <w:r>
        <w:rPr>
          <w:rFonts w:hint="eastAsia" w:ascii="仿宋_GB2312" w:eastAsia="仿宋_GB2312"/>
          <w:sz w:val="30"/>
          <w:szCs w:val="30"/>
        </w:rPr>
        <w:t>风险暴露，以及使用资产证券化外部评级法或标准法的发起银行自持风险暴露，对同一产品持有的全部风险暴露，适用以下总体资本要求上限。</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该</w:t>
      </w:r>
      <w:r>
        <w:rPr>
          <w:rFonts w:ascii="仿宋_GB2312" w:eastAsia="仿宋_GB2312"/>
          <w:sz w:val="30"/>
          <w:szCs w:val="30"/>
        </w:rPr>
        <w:t>上限为</w:t>
      </w:r>
      <w:r>
        <w:rPr>
          <w:rFonts w:hint="eastAsia" w:ascii="仿宋_GB2312" w:eastAsia="仿宋_GB2312"/>
          <w:sz w:val="30"/>
          <w:szCs w:val="30"/>
        </w:rPr>
        <w:t>，报告日</w:t>
      </w:r>
      <w:r>
        <w:rPr>
          <w:rFonts w:ascii="仿宋_GB2312" w:eastAsia="仿宋_GB2312"/>
          <w:sz w:val="30"/>
          <w:szCs w:val="30"/>
        </w:rPr>
        <w:t>资本要求</w:t>
      </w:r>
      <w:r>
        <w:rPr>
          <w:rFonts w:hint="eastAsia" w:ascii="仿宋_GB2312" w:hAnsi="仿宋_GB2312" w:eastAsia="仿宋_GB2312" w:cs="仿宋_GB2312"/>
          <w:position w:val="-10"/>
          <w:sz w:val="30"/>
          <w:szCs w:val="30"/>
        </w:rPr>
        <w:object>
          <v:shape id="_x0000_i1025" o:spt="75" type="#_x0000_t75" style="height:21.35pt;width:23.3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仿宋_GB2312" w:eastAsia="仿宋_GB2312"/>
          <w:sz w:val="30"/>
          <w:szCs w:val="30"/>
        </w:rPr>
        <w:t>与持有</w:t>
      </w:r>
      <w:r>
        <w:rPr>
          <w:rFonts w:ascii="仿宋_GB2312" w:eastAsia="仿宋_GB2312"/>
          <w:sz w:val="30"/>
          <w:szCs w:val="30"/>
        </w:rPr>
        <w:t>比例</w:t>
      </w:r>
      <w:r>
        <w:rPr>
          <w:rFonts w:hint="eastAsia" w:ascii="仿宋_GB2312" w:hAnsi="仿宋_GB2312" w:eastAsia="仿宋_GB2312" w:cs="仿宋_GB2312"/>
          <w:position w:val="-4"/>
          <w:sz w:val="30"/>
          <w:szCs w:val="30"/>
        </w:rPr>
        <w:object>
          <v:shape id="_x0000_i1026" o:spt="75" type="#_x0000_t75" style="height:18.65pt;width:18.65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4">
            <o:LockedField>false</o:LockedField>
          </o:OLEObject>
        </w:object>
      </w:r>
      <w:r>
        <w:rPr>
          <w:rFonts w:hint="eastAsia" w:ascii="仿宋_GB2312" w:eastAsia="仿宋_GB2312"/>
          <w:sz w:val="30"/>
          <w:szCs w:val="30"/>
        </w:rPr>
        <w:t>的乘积。如果商业银行对某一证券化产品，在同一档次中持有一笔或多笔投资，则持有比例</w:t>
      </w:r>
      <w:r>
        <w:rPr>
          <w:rFonts w:hint="eastAsia" w:ascii="仿宋_GB2312" w:hAnsi="仿宋_GB2312" w:eastAsia="仿宋_GB2312" w:cs="仿宋_GB2312"/>
          <w:position w:val="-4"/>
          <w:sz w:val="30"/>
          <w:szCs w:val="30"/>
        </w:rPr>
        <w:object>
          <v:shape id="_x0000_i1027" o:spt="75" type="#_x0000_t75" style="height:18.65pt;width:18.6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6">
            <o:LockedField>false</o:LockedField>
          </o:OLEObject>
        </w:object>
      </w:r>
      <w:r>
        <w:rPr>
          <w:rFonts w:hint="eastAsia" w:ascii="仿宋_GB2312" w:eastAsia="仿宋_GB2312"/>
          <w:sz w:val="30"/>
          <w:szCs w:val="30"/>
        </w:rPr>
        <w:t>为所持风险暴露的合计名义金额占该档次总名义金额的比例。如果商业银行对某一证券化产品，持有</w:t>
      </w:r>
      <w:r>
        <w:rPr>
          <w:rFonts w:ascii="仿宋_GB2312" w:eastAsia="仿宋_GB2312"/>
          <w:sz w:val="30"/>
          <w:szCs w:val="30"/>
        </w:rPr>
        <w:t>多个档次</w:t>
      </w:r>
      <w:r>
        <w:rPr>
          <w:rFonts w:hint="eastAsia" w:ascii="仿宋_GB2312" w:eastAsia="仿宋_GB2312"/>
          <w:sz w:val="30"/>
          <w:szCs w:val="30"/>
        </w:rPr>
        <w:t>，则持有比例</w:t>
      </w:r>
      <w:r>
        <w:rPr>
          <w:rFonts w:hint="eastAsia" w:ascii="仿宋_GB2312" w:hAnsi="仿宋_GB2312" w:eastAsia="仿宋_GB2312" w:cs="仿宋_GB2312"/>
          <w:position w:val="-4"/>
          <w:sz w:val="30"/>
          <w:szCs w:val="30"/>
        </w:rPr>
        <w:object>
          <v:shape id="_x0000_i1028" o:spt="75" type="#_x0000_t75" style="height:18.65pt;width:18.65pt;" o:ole="t" filled="f" o:preferrelative="t" stroked="f" coordsize="21600,21600">
            <v:path/>
            <v:fill on="f" focussize="0,0"/>
            <v:stroke on="f" joinstyle="miter"/>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ascii="仿宋_GB2312" w:eastAsia="仿宋_GB2312"/>
          <w:sz w:val="30"/>
          <w:szCs w:val="30"/>
        </w:rPr>
        <w:t>为各档次中最高的持有比例。</w:t>
      </w:r>
      <w:r>
        <w:rPr>
          <w:rFonts w:hint="eastAsia" w:ascii="仿宋_GB2312" w:hAnsi="仿宋_GB2312" w:eastAsia="仿宋_GB2312" w:cs="仿宋_GB2312"/>
          <w:position w:val="-10"/>
          <w:sz w:val="30"/>
          <w:szCs w:val="30"/>
        </w:rPr>
        <w:object>
          <v:shape id="_x0000_i1029" o:spt="75" type="#_x0000_t75" style="height:21.35pt;width:23.3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仿宋_GB2312" w:eastAsia="仿宋_GB2312"/>
          <w:sz w:val="30"/>
          <w:szCs w:val="30"/>
        </w:rPr>
        <w:t>为报告日基础资产池的总体信用风险监管资本要求。基础资产池中，使用信用风险内部评级法的资产，监管资本要求应包含预期损失，必要时包含稀释风险。</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（八）资产证券化风险暴露的合格信用风险缓释必须符合下列条件：</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（1）合格抵质押品仅限于本办法</w:t>
      </w:r>
      <w:r>
        <w:rPr>
          <w:rFonts w:hint="eastAsia" w:ascii="仿宋_GB2312" w:eastAsia="仿宋_GB2312"/>
          <w:sz w:val="30"/>
          <w:szCs w:val="30"/>
          <w:lang w:eastAsia="zh-CN"/>
        </w:rPr>
        <w:t>附件3</w:t>
      </w:r>
      <w:r>
        <w:rPr>
          <w:rFonts w:hint="eastAsia" w:ascii="仿宋_GB2312" w:eastAsia="仿宋_GB2312"/>
          <w:sz w:val="30"/>
          <w:szCs w:val="30"/>
        </w:rPr>
        <w:t>所规定的合格金融抵质押品。由特殊目的实体所抵质押的合格抵质押品可以视为合格抵质押品。</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（2）合格保证和合格信用衍生工具仅限于本办法</w:t>
      </w:r>
      <w:r>
        <w:rPr>
          <w:rFonts w:hint="eastAsia" w:ascii="仿宋_GB2312" w:eastAsia="仿宋_GB2312"/>
          <w:sz w:val="30"/>
          <w:szCs w:val="30"/>
          <w:lang w:eastAsia="zh-CN"/>
        </w:rPr>
        <w:t>附件3</w:t>
      </w:r>
      <w:r>
        <w:rPr>
          <w:rFonts w:hint="eastAsia" w:ascii="仿宋_GB2312" w:eastAsia="仿宋_GB2312"/>
          <w:sz w:val="30"/>
          <w:szCs w:val="30"/>
        </w:rPr>
        <w:t>所规定的合格保证和合格信用衍生工具。特殊目的实体不被视为合格保证人。</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为资产证券化风险暴露提供全额（或按比例）信用保护的商业银行，计量资本要求时视同其直接持有被保护的资产证券化风险暴露。购买全额（或按比例）信用保护的商业银行，如果满足合格信用风险缓释条件，可按照本办法信用风险缓释规定计算信用风险缓释作用。</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（九）对于存在分档次保护的资产证券化风险暴露，应区分受信用保护和未受信用保护部分：</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提供信用保护的商业银行在计量资本要求时应视同其直接持有被保护的资产证券化风险暴露。购买信用保护的商业银行，如果满足合格信用风险缓释条件，则可以认可分档次保护的信用风险缓释作用，并单独计算每个子档次的资本要求。对未受信用保护部分，按照资产证券化风险暴露的资本要求计算方法计量资本要求；对受信用保护部分，按照本办法信用风险缓释规定计算信用风险缓释作用。</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如果商业银行使用资产证券化内部评级法或标准法，则每个子档次的计算参数应基于该证券化档次的基础资产池计算。如果商业银行使用资产证券化外部评级法，则最高层级的子档次应使用原证券化档次的风险权重，其他子档次按照如下规则处理：</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（1）根据原证券化交易各档次评级推测子档次评级，并根据资产证券化外部评级法确定风险权重。</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（2）如果无法推测评级，则使用资产证券化标准法。子档次风险权重为按照资产证券化标准法计算的该子档次风险权重和信用保护前原证券化档次按资产证券化外部评级法计算的风险权重之间的较大值。</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3.即使信用保护前原资产证券化风险暴露为优先档次，但非最高层级的子档次，也应视为非优先档次处理。</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（十）资产证券化风险暴露与信用风险缓释工具之间存在期限错配的，应当按照本办法</w:t>
      </w:r>
      <w:r>
        <w:rPr>
          <w:rFonts w:hint="eastAsia" w:ascii="仿宋_GB2312" w:eastAsia="仿宋_GB2312"/>
          <w:sz w:val="30"/>
          <w:szCs w:val="30"/>
          <w:lang w:eastAsia="zh-CN"/>
        </w:rPr>
        <w:t>附件3</w:t>
      </w:r>
      <w:r>
        <w:rPr>
          <w:rFonts w:hint="eastAsia" w:ascii="仿宋_GB2312" w:eastAsia="仿宋_GB2312"/>
          <w:sz w:val="30"/>
          <w:szCs w:val="30"/>
        </w:rPr>
        <w:t>的相关规定进行处理。如果资产池中的资产具有不同的期限，应当将最长的期限作为整个资产池的期限。</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合成型资产证券化交易中的信用保护与基础资产之间可能存在期限错配。购买分档次信用保护的商业银行应按如下规定处理：对风险权重为</w:t>
      </w:r>
      <w:r>
        <w:rPr>
          <w:rFonts w:ascii="仿宋_GB2312" w:eastAsia="仿宋_GB2312"/>
          <w:sz w:val="30"/>
          <w:szCs w:val="30"/>
        </w:rPr>
        <w:t>1250</w:t>
      </w:r>
      <w:r>
        <w:rPr>
          <w:rFonts w:hint="eastAsia" w:ascii="仿宋_GB2312" w:eastAsia="仿宋_GB2312"/>
          <w:sz w:val="30"/>
          <w:szCs w:val="30"/>
        </w:rPr>
        <w:t>％的证券化风险暴露，不考虑期限错配风险；对其他资产证券化风险暴露，应按照本办法</w:t>
      </w:r>
      <w:r>
        <w:rPr>
          <w:rFonts w:hint="eastAsia" w:ascii="仿宋_GB2312" w:eastAsia="仿宋_GB2312"/>
          <w:sz w:val="30"/>
          <w:szCs w:val="30"/>
          <w:lang w:eastAsia="zh-CN"/>
        </w:rPr>
        <w:t>附件3</w:t>
      </w:r>
      <w:bookmarkStart w:id="3" w:name="_GoBack"/>
      <w:bookmarkEnd w:id="3"/>
      <w:r>
        <w:rPr>
          <w:rFonts w:hint="eastAsia" w:ascii="仿宋_GB2312" w:eastAsia="仿宋_GB2312"/>
          <w:sz w:val="30"/>
          <w:szCs w:val="30"/>
        </w:rPr>
        <w:t>的相关规定进行处理。</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（十一）不良贷款证券化的处理</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1.不良贷款证券化是指基础资产池全部为已逾期风险暴露的证券化产品。基础资产仅限于贷款和可视同贷款的金融工具。</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2.商业银行使用资产证券化内部评级法计量不良贷款证券化风险暴露的风险加权资产时，不得使用信用风险初级内部评级法计量基础资产。</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3.不良贷款证券化的风险权重下限为100%。</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4.商业银行作为发起机构或作为使用资产证券化内部评级法计量的投资机构时，不良贷款证券化风险暴露可适用本附件第二部分（</w:t>
      </w:r>
      <w:r>
        <w:rPr>
          <w:rFonts w:hint="eastAsia" w:ascii="仿宋_GB2312" w:eastAsia="仿宋_GB2312"/>
          <w:sz w:val="30"/>
          <w:szCs w:val="30"/>
          <w:lang w:eastAsia="zh-CN"/>
        </w:rPr>
        <w:t>七</w:t>
      </w:r>
      <w:r>
        <w:rPr>
          <w:rFonts w:hint="eastAsia" w:ascii="仿宋_GB2312" w:eastAsia="仿宋_GB2312"/>
          <w:sz w:val="30"/>
          <w:szCs w:val="30"/>
        </w:rPr>
        <w:t>）的资本要求上限。</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5.商业银行使用资产证券化内部评级法、资产证券化标准法计量时，满足以下要求的不良贷款证券化风险暴露的优先档次可适用100%的风险权重：</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（1）传统型资产证券化。</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（2）不可退款的折扣（N</w:t>
      </w:r>
      <w:r>
        <w:rPr>
          <w:rFonts w:ascii="仿宋_GB2312" w:eastAsia="仿宋_GB2312"/>
          <w:sz w:val="30"/>
          <w:szCs w:val="30"/>
        </w:rPr>
        <w:t>RPPD</w:t>
      </w:r>
      <w:r>
        <w:rPr>
          <w:rFonts w:hint="eastAsia" w:ascii="仿宋_GB2312" w:eastAsia="仿宋_GB2312"/>
          <w:sz w:val="30"/>
          <w:szCs w:val="30"/>
        </w:rPr>
        <w:t>）至少为基础资产池初始起算日未偿还本息余额的50%。</w:t>
      </w:r>
    </w:p>
    <w:p>
      <w:pPr>
        <w:tabs>
          <w:tab w:val="left" w:pos="153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NRPPD是指基础资产池初始起算日未偿还本息余额与基础资产池转让价值的差值，发起机构未就该差值获得任何补偿。如果发起机构认购该笔证券化并随后将其出售给独立第三方，NRPPD应包括认购的证券化名义本金与向第三方出售金额的差值。NRPPD应仅包括发起机构首次向独立第三方出售的差值。</w:t>
      </w:r>
    </w:p>
    <w:p>
      <w:pPr>
        <w:pStyle w:val="3"/>
        <w:ind w:left="0" w:leftChars="0"/>
      </w:pPr>
      <w:r>
        <w:rPr>
          <w:rFonts w:hint="eastAsia"/>
        </w:rPr>
        <w:t>三、资产证券化内部评级法</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（一）内部评级法下，资产证券化风险暴露的风险权重按照如下方法计算</w:t>
      </w:r>
      <w:r>
        <w:rPr>
          <w:rFonts w:ascii="仿宋_GB2312" w:eastAsia="仿宋_GB2312"/>
          <w:sz w:val="30"/>
          <w:szCs w:val="30"/>
        </w:rPr>
        <w:t>：</w:t>
      </w:r>
    </w:p>
    <w:p>
      <w:pPr>
        <w:spacing w:after="0"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（1）当</w:t>
      </w:r>
      <w:r>
        <w:rPr>
          <w:rFonts w:hint="eastAsia" w:ascii="仿宋_GB2312" w:hAnsi="仿宋_GB2312" w:eastAsia="仿宋_GB2312" w:cs="仿宋_GB2312"/>
          <w:position w:val="-10"/>
          <w:sz w:val="30"/>
          <w:szCs w:val="30"/>
        </w:rPr>
        <w:object>
          <v:shape id="_x0000_i1030" o:spt="75" type="#_x0000_t75" style="height:21.35pt;width:67.35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hint="eastAsia" w:ascii="仿宋_GB2312" w:hAnsi="仿宋_GB2312" w:eastAsia="仿宋_GB2312" w:cs="仿宋_GB2312"/>
          <w:sz w:val="30"/>
          <w:szCs w:val="30"/>
        </w:rPr>
        <w:t>时,</w:t>
      </w:r>
      <w:r>
        <w:rPr>
          <w:rFonts w:hint="eastAsia" w:ascii="仿宋_GB2312" w:hAnsi="仿宋_GB2312" w:eastAsia="仿宋_GB2312" w:cs="仿宋_GB2312"/>
          <w:position w:val="-6"/>
          <w:sz w:val="30"/>
          <w:szCs w:val="30"/>
        </w:rPr>
        <w:object>
          <v:shape id="_x0000_i1031" o:spt="75" type="#_x0000_t75" style="height:18.65pt;width:95.35pt;" o:ole="t" filled="f" o:preferrelative="t" stroked="f" coordsize="21600,21600">
            <v:path/>
            <v:fill on="f" focussize="0,0"/>
            <v:stroke on="f" joinstyle="miter"/>
            <v:imagedata r:id="rId24" o:title=""/>
            <o:lock v:ext="edit" aspectratio="t"/>
            <w10:wrap type="none"/>
            <w10:anchorlock/>
          </v:shape>
          <o:OLEObject Type="Embed" ProgID="Equation.KSEE3" ShapeID="_x0000_i1031" DrawAspect="Content" ObjectID="_1468075731" r:id="rId23">
            <o:LockedField>false</o:LockedField>
          </o:OLEObject>
        </w:object>
      </w:r>
      <w:r>
        <w:rPr>
          <w:rFonts w:hint="eastAsia" w:ascii="仿宋_GB2312" w:hAnsi="仿宋_GB2312" w:eastAsia="仿宋_GB2312" w:cs="仿宋_GB2312"/>
          <w:sz w:val="30"/>
          <w:szCs w:val="30"/>
        </w:rPr>
        <w:t>；</w:t>
      </w:r>
    </w:p>
    <w:p>
      <w:pPr>
        <w:spacing w:after="0" w:line="480"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position w:val="-30"/>
          <w:sz w:val="30"/>
          <w:szCs w:val="30"/>
        </w:rPr>
        <w:pict>
          <v:shape id="对象 11" o:spid="_x0000_s2052" o:spt="75" type="#_x0000_t75" style="position:absolute;left:0pt;margin-left:67.45pt;margin-top:37.55pt;height:37.25pt;width:299.05pt;mso-wrap-distance-bottom:0pt;mso-wrap-distance-top:0pt;z-index:251659264;mso-width-relative:page;mso-height-relative:page;" o:ole="t" filled="f" o:preferrelative="t" stroked="f" coordsize="21600,21600">
            <v:path/>
            <v:fill on="f" focussize="0,0"/>
            <v:stroke on="f" joinstyle="miter"/>
            <v:imagedata r:id="rId26" o:title=""/>
            <o:lock v:ext="edit" aspectratio="t"/>
            <w10:wrap type="topAndBottom"/>
          </v:shape>
          <o:OLEObject Type="Embed" ProgID="Equation.3" ShapeID="对象 11" DrawAspect="Content" ObjectID="_1468075732" r:id="rId25">
            <o:LockedField>false</o:LockedField>
          </o:OLEObject>
        </w:pict>
      </w:r>
      <w:r>
        <w:rPr>
          <w:rFonts w:hint="eastAsia" w:ascii="仿宋_GB2312" w:hAnsi="仿宋_GB2312" w:eastAsia="仿宋_GB2312" w:cs="仿宋_GB2312"/>
          <w:sz w:val="30"/>
          <w:szCs w:val="30"/>
        </w:rPr>
        <w:t>（2）当</w:t>
      </w:r>
      <w:r>
        <w:rPr>
          <w:rFonts w:hint="eastAsia" w:ascii="仿宋_GB2312" w:hAnsi="仿宋_GB2312" w:eastAsia="仿宋_GB2312" w:cs="仿宋_GB2312"/>
          <w:position w:val="-10"/>
          <w:sz w:val="30"/>
          <w:szCs w:val="30"/>
        </w:rPr>
        <w:object>
          <v:shape id="_x0000_i1032" o:spt="75" type="#_x0000_t75" style="height:22.65pt;width:99.35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3" r:id="rId27">
            <o:LockedField>false</o:LockedField>
          </o:OLEObject>
        </w:object>
      </w:r>
      <w:r>
        <w:rPr>
          <w:rFonts w:hint="eastAsia" w:ascii="仿宋_GB2312" w:hAnsi="仿宋_GB2312" w:eastAsia="仿宋_GB2312" w:cs="仿宋_GB2312"/>
          <w:sz w:val="30"/>
          <w:szCs w:val="30"/>
        </w:rPr>
        <w:t>时，</w:t>
      </w:r>
    </w:p>
    <w:p>
      <w:pPr>
        <w:spacing w:after="0" w:line="640" w:lineRule="atLeas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（3）当</w:t>
      </w:r>
      <w:r>
        <w:rPr>
          <w:rFonts w:hint="eastAsia" w:ascii="仿宋_GB2312" w:hAnsi="仿宋_GB2312" w:eastAsia="仿宋_GB2312" w:cs="仿宋_GB2312"/>
          <w:position w:val="-10"/>
          <w:sz w:val="30"/>
          <w:szCs w:val="30"/>
        </w:rPr>
        <w:object>
          <v:shape id="_x0000_i1033" o:spt="75" type="#_x0000_t75" style="height:22.65pt;width:64.65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4" r:id="rId29">
            <o:LockedField>false</o:LockedField>
          </o:OLEObject>
        </w:object>
      </w:r>
      <w:r>
        <w:rPr>
          <w:rFonts w:hint="eastAsia" w:ascii="仿宋_GB2312" w:hAnsi="仿宋_GB2312" w:eastAsia="仿宋_GB2312" w:cs="仿宋_GB2312"/>
          <w:sz w:val="30"/>
          <w:szCs w:val="30"/>
        </w:rPr>
        <w:t>时，</w:t>
      </w:r>
      <w:r>
        <w:rPr>
          <w:rFonts w:hint="eastAsia" w:ascii="仿宋_GB2312" w:hAnsi="仿宋_GB2312" w:eastAsia="仿宋_GB2312" w:cs="仿宋_GB2312"/>
          <w:position w:val="-14"/>
          <w:sz w:val="30"/>
          <w:szCs w:val="30"/>
        </w:rPr>
        <w:object>
          <v:shape id="_x0000_i1034" o:spt="75" type="#_x0000_t75" style="height:23.35pt;width:159.35pt;" o:ole="t" filled="f" o:preferrelative="t" stroked="f" coordsize="21600,21600">
            <v:path/>
            <v:fill on="f" focussize="0,0"/>
            <v:stroke on="f" joinstyle="miter"/>
            <v:imagedata r:id="rId32" o:title=""/>
            <o:lock v:ext="edit" aspectratio="t"/>
            <w10:wrap type="none"/>
            <w10:anchorlock/>
          </v:shape>
          <o:OLEObject Type="Embed" ProgID="Equation.KSEE3" ShapeID="_x0000_i1034" DrawAspect="Content" ObjectID="_1468075735" r:id="rId31">
            <o:LockedField>false</o:LockedField>
          </o:OLEObject>
        </w:objec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其中，</w:t>
      </w:r>
      <w:r>
        <w:rPr>
          <w:rFonts w:hint="eastAsia" w:ascii="仿宋_GB2312" w:hAnsi="仿宋_GB2312" w:eastAsia="仿宋_GB2312" w:cs="仿宋_GB2312"/>
          <w:position w:val="-10"/>
          <w:sz w:val="30"/>
          <w:szCs w:val="30"/>
        </w:rPr>
        <w:object>
          <v:shape id="_x0000_i1035"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6" r:id="rId33">
            <o:LockedField>false</o:LockedField>
          </o:OLEObject>
        </w:object>
      </w:r>
      <w:r>
        <w:rPr>
          <w:rFonts w:hint="eastAsia" w:ascii="仿宋_GB2312" w:eastAsia="仿宋_GB2312"/>
          <w:sz w:val="30"/>
          <w:szCs w:val="30"/>
        </w:rPr>
        <w:t>为报告日基础资产池的内部评级法监管资本要求（以百分比表示）；</w:t>
      </w:r>
      <w:r>
        <w:rPr>
          <w:rFonts w:hint="eastAsia" w:ascii="仿宋_GB2312" w:hAnsi="仿宋_GB2312" w:eastAsia="仿宋_GB2312" w:cs="仿宋_GB2312"/>
          <w:position w:val="-4"/>
          <w:sz w:val="30"/>
          <w:szCs w:val="30"/>
        </w:rPr>
        <w:object>
          <v:shape id="_x0000_i1036" o:spt="75" type="#_x0000_t75" style="height:18.65pt;width:18.65pt;" o:ole="t" filled="f" o:preferrelative="t" stroked="f" coordsize="21600,21600">
            <v:path/>
            <v:fill on="f" focussize="0,0"/>
            <v:stroke on="f" joinstyle="miter"/>
            <v:imagedata r:id="rId36" o:title=""/>
            <o:lock v:ext="edit" aspectratio="t"/>
            <w10:wrap type="none"/>
            <w10:anchorlock/>
          </v:shape>
          <o:OLEObject Type="Embed" ProgID="Equation.KSEE3" ShapeID="_x0000_i1036" DrawAspect="Content" ObjectID="_1468075737" r:id="rId35">
            <o:LockedField>false</o:LockedField>
          </o:OLEObject>
        </w:object>
      </w:r>
      <w:r>
        <w:rPr>
          <w:rFonts w:hint="eastAsia" w:ascii="仿宋_GB2312" w:eastAsia="仿宋_GB2312"/>
          <w:sz w:val="30"/>
          <w:szCs w:val="30"/>
        </w:rPr>
        <w:t>为该档次起始点；</w:t>
      </w:r>
      <w:r>
        <w:rPr>
          <w:rFonts w:hint="eastAsia" w:ascii="仿宋_GB2312" w:hAnsi="仿宋_GB2312" w:eastAsia="仿宋_GB2312" w:cs="仿宋_GB2312"/>
          <w:position w:val="-4"/>
          <w:sz w:val="30"/>
          <w:szCs w:val="30"/>
        </w:rPr>
        <w:object>
          <v:shape id="_x0000_i1037" o:spt="75" type="#_x0000_t75" style="height:18.65pt;width:18.65pt;" o:ole="t" filled="f" o:preferrelative="t" stroked="f" coordsize="21600,21600">
            <v:path/>
            <v:fill on="f" focussize="0,0"/>
            <v:stroke on="f" joinstyle="miter"/>
            <v:imagedata r:id="rId38" o:title=""/>
            <o:lock v:ext="edit" aspectratio="t"/>
            <w10:wrap type="none"/>
            <w10:anchorlock/>
          </v:shape>
          <o:OLEObject Type="Embed" ProgID="Equation.KSEE3" ShapeID="_x0000_i1037" DrawAspect="Content" ObjectID="_1468075738" r:id="rId37">
            <o:LockedField>false</o:LockedField>
          </o:OLEObject>
        </w:object>
      </w:r>
      <w:r>
        <w:rPr>
          <w:rFonts w:hint="eastAsia" w:ascii="仿宋_GB2312" w:eastAsia="仿宋_GB2312"/>
          <w:sz w:val="30"/>
          <w:szCs w:val="30"/>
        </w:rPr>
        <w:t>为该</w:t>
      </w:r>
      <w:r>
        <w:rPr>
          <w:rFonts w:ascii="仿宋_GB2312" w:eastAsia="仿宋_GB2312"/>
          <w:sz w:val="30"/>
          <w:szCs w:val="30"/>
        </w:rPr>
        <w:t>档次分离点</w:t>
      </w:r>
      <w:r>
        <w:rPr>
          <w:rFonts w:hint="eastAsia" w:ascii="仿宋_GB2312" w:eastAsia="仿宋_GB2312"/>
          <w:sz w:val="30"/>
          <w:szCs w:val="30"/>
        </w:rPr>
        <w:t>；</w:t>
      </w:r>
      <w:r>
        <w:rPr>
          <w:rFonts w:hint="eastAsia" w:ascii="仿宋_GB2312" w:hAnsi="仿宋_GB2312" w:eastAsia="仿宋_GB2312" w:cs="仿宋_GB2312"/>
          <w:position w:val="-14"/>
          <w:sz w:val="30"/>
          <w:szCs w:val="30"/>
        </w:rPr>
        <w:object>
          <v:shape id="_x0000_i1038" o:spt="75" type="#_x0000_t75" style="height:23.35pt;width:64pt;" o:ole="t" filled="f" o:preferrelative="t" stroked="f" coordsize="21600,21600">
            <v:path/>
            <v:fill on="f" focussize="0,0"/>
            <v:stroke on="f" joinstyle="miter"/>
            <v:imagedata r:id="rId40" o:title=""/>
            <o:lock v:ext="edit" aspectratio="t"/>
            <w10:wrap type="none"/>
            <w10:anchorlock/>
          </v:shape>
          <o:OLEObject Type="Embed" ProgID="Equation.KSEE3" ShapeID="_x0000_i1038" DrawAspect="Content" ObjectID="_1468075739" r:id="rId39">
            <o:LockedField>false</o:LockedField>
          </o:OLEObject>
        </w:object>
      </w:r>
      <w:r>
        <w:rPr>
          <w:rFonts w:hint="eastAsia" w:ascii="仿宋_GB2312" w:eastAsia="仿宋_GB2312"/>
          <w:sz w:val="30"/>
          <w:szCs w:val="30"/>
        </w:rPr>
        <w:t>为内部评级法下每单位资产证券化风险暴露的资本要求</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（二）</w:t>
      </w:r>
      <w:r>
        <w:rPr>
          <w:rFonts w:hint="eastAsia" w:ascii="仿宋_GB2312" w:hAnsi="仿宋_GB2312" w:eastAsia="仿宋_GB2312" w:cs="仿宋_GB2312"/>
          <w:position w:val="-10"/>
          <w:sz w:val="30"/>
          <w:szCs w:val="30"/>
        </w:rPr>
        <w:object>
          <v:shape id="_x0000_i1039"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40" r:id="rId41">
            <o:LockedField>false</o:LockedField>
          </o:OLEObject>
        </w:object>
      </w:r>
      <w:r>
        <w:rPr>
          <w:rFonts w:hint="eastAsia" w:ascii="仿宋_GB2312" w:eastAsia="仿宋_GB2312"/>
          <w:sz w:val="30"/>
          <w:szCs w:val="30"/>
        </w:rPr>
        <w:t>为（</w:t>
      </w:r>
      <w:r>
        <w:rPr>
          <w:rFonts w:ascii="仿宋_GB2312" w:eastAsia="仿宋_GB2312"/>
          <w:sz w:val="30"/>
          <w:szCs w:val="30"/>
        </w:rPr>
        <w:t>a</w:t>
      </w:r>
      <w:r>
        <w:rPr>
          <w:rFonts w:hint="eastAsia" w:ascii="仿宋_GB2312" w:eastAsia="仿宋_GB2312"/>
          <w:sz w:val="30"/>
          <w:szCs w:val="30"/>
        </w:rPr>
        <w:t>）</w:t>
      </w:r>
      <w:r>
        <w:rPr>
          <w:rFonts w:ascii="仿宋_GB2312" w:eastAsia="仿宋_GB2312"/>
          <w:sz w:val="30"/>
          <w:szCs w:val="30"/>
        </w:rPr>
        <w:t>与</w:t>
      </w:r>
      <w:r>
        <w:rPr>
          <w:rFonts w:hint="eastAsia" w:ascii="仿宋_GB2312" w:eastAsia="仿宋_GB2312"/>
          <w:sz w:val="30"/>
          <w:szCs w:val="30"/>
        </w:rPr>
        <w:t>（b）</w:t>
      </w:r>
      <w:r>
        <w:rPr>
          <w:rFonts w:ascii="仿宋_GB2312" w:eastAsia="仿宋_GB2312"/>
          <w:sz w:val="30"/>
          <w:szCs w:val="30"/>
        </w:rPr>
        <w:t>的比值</w:t>
      </w:r>
      <w:r>
        <w:rPr>
          <w:rFonts w:hint="eastAsia" w:ascii="仿宋_GB2312" w:eastAsia="仿宋_GB2312"/>
          <w:sz w:val="30"/>
          <w:szCs w:val="30"/>
        </w:rPr>
        <w:t>，其中：（</w:t>
      </w:r>
      <w:r>
        <w:rPr>
          <w:rFonts w:ascii="仿宋_GB2312" w:eastAsia="仿宋_GB2312"/>
          <w:sz w:val="30"/>
          <w:szCs w:val="30"/>
        </w:rPr>
        <w:t>a</w:t>
      </w:r>
      <w:r>
        <w:rPr>
          <w:rFonts w:hint="eastAsia" w:ascii="仿宋_GB2312" w:eastAsia="仿宋_GB2312"/>
          <w:sz w:val="30"/>
          <w:szCs w:val="30"/>
        </w:rPr>
        <w:t>）为</w:t>
      </w:r>
      <w:r>
        <w:rPr>
          <w:rFonts w:ascii="仿宋_GB2312" w:eastAsia="仿宋_GB2312"/>
          <w:sz w:val="30"/>
          <w:szCs w:val="30"/>
        </w:rPr>
        <w:t>基础资产</w:t>
      </w:r>
      <w:r>
        <w:rPr>
          <w:rFonts w:hint="eastAsia" w:ascii="仿宋_GB2312" w:eastAsia="仿宋_GB2312"/>
          <w:sz w:val="30"/>
          <w:szCs w:val="30"/>
        </w:rPr>
        <w:t>按照</w:t>
      </w:r>
      <w:bookmarkStart w:id="0" w:name="_Hlk50638116"/>
      <w:r>
        <w:rPr>
          <w:rFonts w:ascii="仿宋_GB2312" w:eastAsia="仿宋_GB2312"/>
          <w:sz w:val="30"/>
          <w:szCs w:val="30"/>
        </w:rPr>
        <w:t>信用风险内部评级法</w:t>
      </w:r>
      <w:bookmarkEnd w:id="0"/>
      <w:r>
        <w:rPr>
          <w:rFonts w:hint="eastAsia" w:ascii="仿宋_GB2312" w:eastAsia="仿宋_GB2312"/>
          <w:sz w:val="30"/>
          <w:szCs w:val="30"/>
        </w:rPr>
        <w:t>计算的考虑风险缓释作用后</w:t>
      </w:r>
      <w:r>
        <w:rPr>
          <w:rFonts w:ascii="仿宋_GB2312" w:eastAsia="仿宋_GB2312"/>
          <w:sz w:val="30"/>
          <w:szCs w:val="30"/>
        </w:rPr>
        <w:t>的监管资本</w:t>
      </w:r>
      <w:r>
        <w:rPr>
          <w:rFonts w:hint="eastAsia" w:ascii="仿宋_GB2312" w:eastAsia="仿宋_GB2312"/>
          <w:sz w:val="30"/>
          <w:szCs w:val="30"/>
        </w:rPr>
        <w:t>要求。监管资本要求应包含预期损失，必要时需包含稀释风险。（b）为基础</w:t>
      </w:r>
      <w:r>
        <w:rPr>
          <w:rFonts w:ascii="仿宋_GB2312" w:eastAsia="仿宋_GB2312"/>
          <w:sz w:val="30"/>
          <w:szCs w:val="30"/>
        </w:rPr>
        <w:t>资产池风险暴露</w:t>
      </w:r>
      <w:r>
        <w:rPr>
          <w:rFonts w:hint="eastAsia" w:ascii="仿宋_GB2312" w:eastAsia="仿宋_GB2312"/>
          <w:sz w:val="30"/>
          <w:szCs w:val="30"/>
        </w:rPr>
        <w:t>(含已提取部分和未提取承诺）。如果商业银行专门针对基础资产池中的资产提取了准备，或资产池中的某些资产是商业银行通过不可退款的折扣方式购买的，则（</w:t>
      </w:r>
      <w:r>
        <w:rPr>
          <w:rFonts w:ascii="仿宋_GB2312" w:eastAsia="仿宋_GB2312"/>
          <w:sz w:val="30"/>
          <w:szCs w:val="30"/>
        </w:rPr>
        <w:t>a</w:t>
      </w:r>
      <w:r>
        <w:rPr>
          <w:rFonts w:hint="eastAsia" w:ascii="仿宋_GB2312" w:eastAsia="仿宋_GB2312"/>
          <w:sz w:val="30"/>
          <w:szCs w:val="30"/>
        </w:rPr>
        <w:t>）和（b）应使用扣减该项准备或考虑价格折扣后的风险暴露。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稀释风险指资产池基础资产数量减少的风险，应包含在</w:t>
      </w:r>
      <w:r>
        <w:rPr>
          <w:rFonts w:hint="eastAsia" w:ascii="仿宋_GB2312" w:hAnsi="仿宋_GB2312" w:eastAsia="仿宋_GB2312" w:cs="仿宋_GB2312"/>
          <w:position w:val="-10"/>
          <w:sz w:val="30"/>
          <w:szCs w:val="30"/>
        </w:rPr>
        <w:object>
          <v:shape id="_x0000_i1040"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40" DrawAspect="Content" ObjectID="_1468075741" r:id="rId42">
            <o:LockedField>false</o:LockedField>
          </o:OLEObject>
        </w:object>
      </w:r>
      <w:r>
        <w:rPr>
          <w:rFonts w:hint="eastAsia" w:ascii="仿宋_GB2312" w:eastAsia="仿宋_GB2312"/>
          <w:sz w:val="30"/>
          <w:szCs w:val="30"/>
        </w:rPr>
        <w:t>计算中。商业银行应分别计算稀释风险和违约风险的资本要求，并加总得到</w:t>
      </w:r>
      <w:r>
        <w:rPr>
          <w:rFonts w:hint="eastAsia" w:ascii="仿宋_GB2312" w:hAnsi="仿宋_GB2312" w:eastAsia="仿宋_GB2312" w:cs="仿宋_GB2312"/>
          <w:position w:val="-10"/>
          <w:sz w:val="30"/>
          <w:szCs w:val="30"/>
        </w:rPr>
        <w:object>
          <v:shape id="_x0000_i1041"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41" DrawAspect="Content" ObjectID="_1468075742" r:id="rId43">
            <o:LockedField>false</o:LockedField>
          </o:OLEObject>
        </w:objec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资产证券化交易涉及特殊目的实体</w:t>
      </w:r>
      <w:r>
        <w:rPr>
          <w:rFonts w:ascii="仿宋_GB2312" w:eastAsia="仿宋_GB2312"/>
          <w:sz w:val="30"/>
          <w:szCs w:val="30"/>
        </w:rPr>
        <w:t>时，</w:t>
      </w:r>
      <w:r>
        <w:rPr>
          <w:rFonts w:hint="eastAsia" w:ascii="仿宋_GB2312" w:eastAsia="仿宋_GB2312"/>
          <w:sz w:val="30"/>
          <w:szCs w:val="30"/>
        </w:rPr>
        <w:t>特殊目的实体所有</w:t>
      </w:r>
      <w:r>
        <w:rPr>
          <w:rFonts w:ascii="仿宋_GB2312" w:eastAsia="仿宋_GB2312"/>
          <w:sz w:val="30"/>
          <w:szCs w:val="30"/>
        </w:rPr>
        <w:t>与资产证券化</w:t>
      </w:r>
      <w:r>
        <w:rPr>
          <w:rFonts w:hint="eastAsia" w:ascii="仿宋_GB2312" w:eastAsia="仿宋_GB2312"/>
          <w:sz w:val="30"/>
          <w:szCs w:val="30"/>
        </w:rPr>
        <w:t>交易</w:t>
      </w:r>
      <w:r>
        <w:rPr>
          <w:rFonts w:ascii="仿宋_GB2312" w:eastAsia="仿宋_GB2312"/>
          <w:sz w:val="30"/>
          <w:szCs w:val="30"/>
        </w:rPr>
        <w:t>相关的</w:t>
      </w:r>
      <w:r>
        <w:rPr>
          <w:rFonts w:hint="eastAsia" w:ascii="仿宋_GB2312" w:eastAsia="仿宋_GB2312"/>
          <w:sz w:val="30"/>
          <w:szCs w:val="30"/>
        </w:rPr>
        <w:t>资产都应当按照</w:t>
      </w:r>
      <w:r>
        <w:rPr>
          <w:rFonts w:ascii="仿宋_GB2312" w:eastAsia="仿宋_GB2312"/>
          <w:sz w:val="30"/>
          <w:szCs w:val="30"/>
        </w:rPr>
        <w:t>基础资产</w:t>
      </w:r>
      <w:r>
        <w:rPr>
          <w:rFonts w:hint="eastAsia" w:ascii="仿宋_GB2312" w:eastAsia="仿宋_GB2312"/>
          <w:sz w:val="30"/>
          <w:szCs w:val="30"/>
        </w:rPr>
        <w:t>处理，包括</w:t>
      </w:r>
      <w:r>
        <w:rPr>
          <w:rFonts w:ascii="仿宋_GB2312" w:eastAsia="仿宋_GB2312"/>
          <w:sz w:val="30"/>
          <w:szCs w:val="30"/>
        </w:rPr>
        <w:t>储备账户、现金抵押账户</w:t>
      </w:r>
      <w:r>
        <w:rPr>
          <w:rFonts w:hint="eastAsia" w:ascii="仿宋_GB2312" w:eastAsia="仿宋_GB2312"/>
          <w:sz w:val="30"/>
          <w:szCs w:val="30"/>
        </w:rPr>
        <w:t>、</w:t>
      </w:r>
      <w:r>
        <w:rPr>
          <w:rFonts w:ascii="仿宋_GB2312" w:eastAsia="仿宋_GB2312"/>
          <w:sz w:val="30"/>
          <w:szCs w:val="30"/>
        </w:rPr>
        <w:t>利率互换或货币互换形成的</w:t>
      </w:r>
      <w:r>
        <w:rPr>
          <w:rFonts w:hint="eastAsia" w:ascii="仿宋_GB2312" w:eastAsia="仿宋_GB2312"/>
          <w:sz w:val="30"/>
          <w:szCs w:val="30"/>
        </w:rPr>
        <w:t>债权等</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对资金来源预置型的合成型交易，例如以发行信用联结票据或特殊目的实体</w:t>
      </w:r>
      <w:r>
        <w:rPr>
          <w:rFonts w:ascii="仿宋_GB2312" w:eastAsia="仿宋_GB2312"/>
          <w:sz w:val="30"/>
          <w:szCs w:val="30"/>
        </w:rPr>
        <w:t>的其他</w:t>
      </w:r>
      <w:r>
        <w:rPr>
          <w:rFonts w:hint="eastAsia" w:ascii="仿宋_GB2312" w:eastAsia="仿宋_GB2312"/>
          <w:sz w:val="30"/>
          <w:szCs w:val="30"/>
        </w:rPr>
        <w:t>负债为</w:t>
      </w:r>
      <w:r>
        <w:rPr>
          <w:rFonts w:ascii="仿宋_GB2312" w:eastAsia="仿宋_GB2312"/>
          <w:sz w:val="30"/>
          <w:szCs w:val="30"/>
        </w:rPr>
        <w:t>抵</w:t>
      </w:r>
      <w:r>
        <w:rPr>
          <w:rFonts w:hint="eastAsia" w:ascii="仿宋_GB2312" w:eastAsia="仿宋_GB2312"/>
          <w:sz w:val="30"/>
          <w:szCs w:val="30"/>
        </w:rPr>
        <w:t>质</w:t>
      </w:r>
      <w:r>
        <w:rPr>
          <w:rFonts w:ascii="仿宋_GB2312" w:eastAsia="仿宋_GB2312"/>
          <w:sz w:val="30"/>
          <w:szCs w:val="30"/>
        </w:rPr>
        <w:t>押，且抵</w:t>
      </w:r>
      <w:r>
        <w:rPr>
          <w:rFonts w:hint="eastAsia" w:ascii="仿宋_GB2312" w:eastAsia="仿宋_GB2312"/>
          <w:sz w:val="30"/>
          <w:szCs w:val="30"/>
        </w:rPr>
        <w:t>质</w:t>
      </w:r>
      <w:r>
        <w:rPr>
          <w:rFonts w:ascii="仿宋_GB2312" w:eastAsia="仿宋_GB2312"/>
          <w:sz w:val="30"/>
          <w:szCs w:val="30"/>
        </w:rPr>
        <w:t>押品违约风险</w:t>
      </w:r>
      <w:r>
        <w:rPr>
          <w:rFonts w:hint="eastAsia" w:ascii="仿宋_GB2312" w:eastAsia="仿宋_GB2312"/>
          <w:sz w:val="30"/>
          <w:szCs w:val="30"/>
        </w:rPr>
        <w:t>取决于</w:t>
      </w:r>
      <w:r>
        <w:rPr>
          <w:rFonts w:ascii="仿宋_GB2312" w:eastAsia="仿宋_GB2312"/>
          <w:sz w:val="30"/>
          <w:szCs w:val="30"/>
        </w:rPr>
        <w:t>档次损失分配</w:t>
      </w:r>
      <w:r>
        <w:rPr>
          <w:rFonts w:hint="eastAsia" w:ascii="仿宋_GB2312" w:eastAsia="仿宋_GB2312"/>
          <w:sz w:val="30"/>
          <w:szCs w:val="30"/>
        </w:rPr>
        <w:t>的</w:t>
      </w:r>
      <w:r>
        <w:rPr>
          <w:rFonts w:ascii="仿宋_GB2312" w:eastAsia="仿宋_GB2312"/>
          <w:sz w:val="30"/>
          <w:szCs w:val="30"/>
        </w:rPr>
        <w:t>，应</w:t>
      </w:r>
      <w:r>
        <w:rPr>
          <w:rFonts w:hint="eastAsia" w:ascii="仿宋_GB2312" w:eastAsia="仿宋_GB2312"/>
          <w:sz w:val="30"/>
          <w:szCs w:val="30"/>
        </w:rPr>
        <w:t>纳入</w:t>
      </w:r>
      <w:r>
        <w:rPr>
          <w:rFonts w:hint="eastAsia" w:ascii="仿宋_GB2312" w:hAnsi="仿宋_GB2312" w:eastAsia="仿宋_GB2312" w:cs="仿宋_GB2312"/>
          <w:position w:val="-10"/>
          <w:sz w:val="30"/>
          <w:szCs w:val="30"/>
        </w:rPr>
        <w:object>
          <v:shape id="_x0000_i1042"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42" DrawAspect="Content" ObjectID="_1468075743" r:id="rId44">
            <o:LockedField>false</o:LockedField>
          </o:OLEObject>
        </w:object>
      </w:r>
      <w:r>
        <w:rPr>
          <w:rFonts w:hint="eastAsia" w:ascii="仿宋_GB2312" w:eastAsia="仿宋_GB2312"/>
          <w:sz w:val="30"/>
          <w:szCs w:val="30"/>
        </w:rPr>
        <w:t>的计算。</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对“混合资产池”，</w:t>
      </w:r>
      <w:r>
        <w:rPr>
          <w:rFonts w:hint="eastAsia" w:ascii="仿宋_GB2312" w:hAnsi="仿宋_GB2312" w:eastAsia="仿宋_GB2312" w:cs="仿宋_GB2312"/>
          <w:position w:val="-10"/>
          <w:sz w:val="30"/>
          <w:szCs w:val="30"/>
        </w:rPr>
        <w:object>
          <v:shape id="_x0000_i1043"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43" DrawAspect="Content" ObjectID="_1468075744" r:id="rId45">
            <o:LockedField>false</o:LockedField>
          </o:OLEObject>
        </w:object>
      </w:r>
      <w:r>
        <w:rPr>
          <w:rFonts w:hint="eastAsia" w:ascii="仿宋_GB2312" w:eastAsia="仿宋_GB2312"/>
          <w:sz w:val="30"/>
          <w:szCs w:val="30"/>
        </w:rPr>
        <w:t>需调整为基础资产适用于信用风险内部评级法和权重法部分的资本要求的加权平均</w:t>
      </w:r>
      <w:r>
        <w:rPr>
          <w:rFonts w:ascii="仿宋_GB2312" w:eastAsia="仿宋_GB2312"/>
          <w:sz w:val="30"/>
          <w:szCs w:val="30"/>
        </w:rPr>
        <w:t>：</w:t>
      </w:r>
    </w:p>
    <w:p>
      <w:pPr>
        <w:spacing w:after="0" w:line="480" w:lineRule="exact"/>
        <w:jc w:val="center"/>
        <w:rPr>
          <w:rFonts w:ascii="仿宋_GB2312" w:hAnsi="仿宋_GB2312" w:eastAsia="仿宋_GB2312" w:cs="仿宋_GB2312"/>
          <w:sz w:val="30"/>
          <w:szCs w:val="30"/>
        </w:rPr>
      </w:pPr>
      <w:r>
        <w:rPr>
          <w:rFonts w:hint="eastAsia" w:ascii="仿宋_GB2312" w:hAnsi="仿宋_GB2312" w:eastAsia="仿宋_GB2312" w:cs="仿宋_GB2312"/>
          <w:position w:val="-12"/>
          <w:sz w:val="30"/>
          <w:szCs w:val="30"/>
        </w:rPr>
        <w:object>
          <v:shape id="_x0000_i1044" o:spt="75" type="#_x0000_t75" style="height:22.65pt;width:136.65pt;" o:ole="t" filled="f" o:preferrelative="t" stroked="f" coordsize="21600,21600">
            <v:path/>
            <v:fill on="f" focussize="0,0"/>
            <v:stroke on="f" joinstyle="miter"/>
            <v:imagedata r:id="rId47" o:title=""/>
            <o:lock v:ext="edit" aspectratio="t"/>
            <w10:wrap type="none"/>
            <w10:anchorlock/>
          </v:shape>
          <o:OLEObject Type="Embed" ProgID="Equation.3" ShapeID="_x0000_i1044" DrawAspect="Content" ObjectID="_1468075745" r:id="rId46">
            <o:LockedField>false</o:LockedField>
          </o:OLEObject>
        </w:objec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其中：</w:t>
      </w:r>
      <w:r>
        <w:rPr>
          <w:rFonts w:hint="eastAsia" w:ascii="仿宋_GB2312" w:hAnsi="仿宋_GB2312" w:eastAsia="仿宋_GB2312" w:cs="仿宋_GB2312"/>
          <w:position w:val="-10"/>
          <w:sz w:val="30"/>
          <w:szCs w:val="30"/>
        </w:rPr>
        <w:object>
          <v:shape id="_x0000_i1045"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45" DrawAspect="Content" ObjectID="_1468075746" r:id="rId48">
            <o:LockedField>false</o:LockedField>
          </o:OLEObject>
        </w:object>
      </w:r>
      <w:r>
        <w:rPr>
          <w:rFonts w:hint="eastAsia" w:ascii="仿宋_GB2312" w:eastAsia="仿宋_GB2312"/>
          <w:sz w:val="30"/>
          <w:szCs w:val="30"/>
        </w:rPr>
        <w:t>定义见本部分，</w:t>
      </w:r>
      <w:r>
        <w:rPr>
          <w:rFonts w:hint="eastAsia" w:ascii="仿宋_GB2312" w:hAnsi="仿宋_GB2312" w:eastAsia="仿宋_GB2312" w:cs="仿宋_GB2312"/>
          <w:position w:val="-12"/>
          <w:sz w:val="30"/>
          <w:szCs w:val="30"/>
        </w:rPr>
        <w:object>
          <v:shape id="_x0000_i1046" o:spt="75" type="#_x0000_t75" style="height:22.65pt;width:26.65pt;" o:ole="t" filled="f" o:preferrelative="t" stroked="f" coordsize="21600,21600">
            <v:path/>
            <v:fill on="f" focussize="0,0"/>
            <v:stroke on="f" joinstyle="miter"/>
            <v:imagedata r:id="rId50" o:title=""/>
            <o:lock v:ext="edit" aspectratio="t"/>
            <w10:wrap type="none"/>
            <w10:anchorlock/>
          </v:shape>
          <o:OLEObject Type="Embed" ProgID="Equation.3" ShapeID="_x0000_i1046" DrawAspect="Content" ObjectID="_1468075747" r:id="rId49">
            <o:LockedField>false</o:LockedField>
          </o:OLEObject>
        </w:object>
      </w:r>
      <w:r>
        <w:rPr>
          <w:rFonts w:hint="eastAsia" w:ascii="仿宋_GB2312" w:eastAsia="仿宋_GB2312"/>
          <w:sz w:val="30"/>
          <w:szCs w:val="30"/>
        </w:rPr>
        <w:t>定义见本附件</w:t>
      </w:r>
      <w:r>
        <w:rPr>
          <w:rFonts w:ascii="仿宋_GB2312" w:eastAsia="仿宋_GB2312"/>
          <w:sz w:val="30"/>
          <w:szCs w:val="30"/>
        </w:rPr>
        <w:t>第</w:t>
      </w:r>
      <w:r>
        <w:rPr>
          <w:rFonts w:hint="eastAsia" w:ascii="仿宋_GB2312" w:eastAsia="仿宋_GB2312"/>
          <w:sz w:val="30"/>
          <w:szCs w:val="30"/>
        </w:rPr>
        <w:t>五</w:t>
      </w:r>
      <w:r>
        <w:rPr>
          <w:rFonts w:ascii="仿宋_GB2312" w:eastAsia="仿宋_GB2312"/>
          <w:sz w:val="30"/>
          <w:szCs w:val="30"/>
        </w:rPr>
        <w:t>部分</w:t>
      </w:r>
      <w:r>
        <w:rPr>
          <w:rFonts w:hint="eastAsia" w:ascii="仿宋_GB2312" w:eastAsia="仿宋_GB2312"/>
          <w:sz w:val="30"/>
          <w:szCs w:val="30"/>
        </w:rPr>
        <w:t>第（二）条，</w:t>
      </w:r>
      <w:r>
        <w:rPr>
          <w:rFonts w:hint="eastAsia" w:ascii="仿宋_GB2312" w:hAnsi="仿宋_GB2312" w:eastAsia="仿宋_GB2312" w:cs="仿宋_GB2312"/>
          <w:position w:val="-6"/>
          <w:sz w:val="30"/>
          <w:szCs w:val="30"/>
        </w:rPr>
        <w:object>
          <v:shape id="_x0000_i1047" o:spt="75" type="#_x0000_t75" style="height:20pt;width:16pt;" o:ole="t" filled="f" o:preferrelative="t" stroked="f" coordsize="21600,21600">
            <v:path/>
            <v:fill on="f" focussize="0,0"/>
            <v:stroke on="f" joinstyle="miter"/>
            <v:imagedata r:id="rId52" o:title=""/>
            <o:lock v:ext="edit" aspectratio="t"/>
            <w10:wrap type="none"/>
            <w10:anchorlock/>
          </v:shape>
          <o:OLEObject Type="Embed" ProgID="Equation.KSEE3" ShapeID="_x0000_i1047" DrawAspect="Content" ObjectID="_1468075748" r:id="rId51">
            <o:LockedField>false</o:LockedField>
          </o:OLEObject>
        </w:object>
      </w:r>
      <w:r>
        <w:rPr>
          <w:rFonts w:hint="eastAsia" w:ascii="仿宋_GB2312" w:eastAsia="仿宋_GB2312"/>
          <w:sz w:val="30"/>
          <w:szCs w:val="30"/>
        </w:rPr>
        <w:t>是</w:t>
      </w:r>
      <w:r>
        <w:rPr>
          <w:rFonts w:hint="eastAsia" w:ascii="仿宋_GB2312" w:hAnsi="仿宋_GB2312" w:eastAsia="仿宋_GB2312" w:cs="仿宋_GB2312"/>
          <w:position w:val="-10"/>
          <w:sz w:val="30"/>
          <w:szCs w:val="30"/>
        </w:rPr>
        <w:object>
          <v:shape id="_x0000_i1048" o:spt="75" type="#_x0000_t75" style="height:21.35pt;width:30pt;" o:ole="t" filled="f" o:preferrelative="t" stroked="f" coordsize="21600,21600">
            <v:path/>
            <v:fill on="f" focussize="0,0"/>
            <v:stroke on="f" joinstyle="miter"/>
            <v:imagedata r:id="rId34" o:title=""/>
            <o:lock v:ext="edit" aspectratio="t"/>
            <w10:wrap type="none"/>
            <w10:anchorlock/>
          </v:shape>
          <o:OLEObject Type="Embed" ProgID="Equation.3" ShapeID="_x0000_i1048" DrawAspect="Content" ObjectID="_1468075749" r:id="rId53">
            <o:LockedField>false</o:LockedField>
          </o:OLEObject>
        </w:object>
      </w:r>
      <w:r>
        <w:rPr>
          <w:rFonts w:hint="eastAsia" w:ascii="仿宋_GB2312" w:eastAsia="仿宋_GB2312"/>
          <w:sz w:val="30"/>
          <w:szCs w:val="30"/>
        </w:rPr>
        <w:t>对应的基础资产风险暴露占全部基础资产风险暴露的百分比。</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（三）档次起始点</w:t>
      </w:r>
      <w:r>
        <w:rPr>
          <w:rFonts w:hint="eastAsia" w:ascii="仿宋_GB2312" w:hAnsi="仿宋_GB2312" w:eastAsia="仿宋_GB2312" w:cs="仿宋_GB2312"/>
          <w:position w:val="-6"/>
          <w:sz w:val="30"/>
          <w:szCs w:val="30"/>
        </w:rPr>
        <w:object>
          <v:shape id="_x0000_i1049" o:spt="75" type="#_x0000_t75" style="height:18pt;width:18pt;" o:ole="t" filled="f" o:preferrelative="t" stroked="f" coordsize="21600,21600">
            <v:path/>
            <v:fill on="f" focussize="0,0"/>
            <v:stroke on="f" joinstyle="miter"/>
            <v:imagedata r:id="rId55" o:title=""/>
            <o:lock v:ext="edit" aspectratio="t"/>
            <w10:wrap type="none"/>
            <w10:anchorlock/>
          </v:shape>
          <o:OLEObject Type="Embed" ProgID="Equation.KSEE3" ShapeID="_x0000_i1049" DrawAspect="Content" ObjectID="_1468075750" r:id="rId54">
            <o:LockedField>false</o:LockedField>
          </o:OLEObject>
        </w:object>
      </w:r>
      <w:r>
        <w:rPr>
          <w:rFonts w:hint="eastAsia" w:ascii="仿宋_GB2312" w:eastAsia="仿宋_GB2312"/>
          <w:sz w:val="30"/>
          <w:szCs w:val="30"/>
        </w:rPr>
        <w:t>指基础资产池的损失将引起该档次发生损失的起始值，取如下两者的较高值：（</w:t>
      </w:r>
      <w:r>
        <w:rPr>
          <w:rFonts w:ascii="仿宋_GB2312" w:eastAsia="仿宋_GB2312"/>
          <w:sz w:val="30"/>
          <w:szCs w:val="30"/>
        </w:rPr>
        <w:t>a</w:t>
      </w:r>
      <w:r>
        <w:rPr>
          <w:rFonts w:hint="eastAsia" w:ascii="仿宋_GB2312" w:eastAsia="仿宋_GB2312"/>
          <w:sz w:val="30"/>
          <w:szCs w:val="30"/>
        </w:rPr>
        <w:t>）</w:t>
      </w:r>
      <w:r>
        <w:rPr>
          <w:rFonts w:ascii="仿宋_GB2312" w:eastAsia="仿宋_GB2312"/>
          <w:sz w:val="30"/>
          <w:szCs w:val="30"/>
        </w:rPr>
        <w:t>0</w:t>
      </w:r>
      <w:r>
        <w:rPr>
          <w:rFonts w:hint="eastAsia" w:ascii="仿宋_GB2312" w:eastAsia="仿宋_GB2312"/>
          <w:sz w:val="30"/>
          <w:szCs w:val="30"/>
        </w:rPr>
        <w:t>；（b）基础资产池扣减所有优先级高于或等于该档次的金额后的余额占资产池全部余额的比值。</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档次分离点</w:t>
      </w:r>
      <w:r>
        <w:rPr>
          <w:rFonts w:hint="eastAsia" w:ascii="仿宋_GB2312" w:hAnsi="仿宋_GB2312" w:eastAsia="仿宋_GB2312" w:cs="仿宋_GB2312"/>
          <w:position w:val="-4"/>
          <w:sz w:val="30"/>
          <w:szCs w:val="30"/>
        </w:rPr>
        <w:object>
          <v:shape id="_x0000_i1050" o:spt="75" type="#_x0000_t75" style="height:17.35pt;width:18.65pt;" o:ole="t" filled="f" o:preferrelative="t" stroked="f" coordsize="21600,21600">
            <v:path/>
            <v:fill on="f" focussize="0,0"/>
            <v:stroke on="f" joinstyle="miter"/>
            <v:imagedata r:id="rId57" o:title=""/>
            <o:lock v:ext="edit" aspectratio="t"/>
            <w10:wrap type="none"/>
            <w10:anchorlock/>
          </v:shape>
          <o:OLEObject Type="Embed" ProgID="Equation.KSEE3" ShapeID="_x0000_i1050" DrawAspect="Content" ObjectID="_1468075751" r:id="rId56">
            <o:LockedField>false</o:LockedField>
          </o:OLEObject>
        </w:object>
      </w:r>
      <w:r>
        <w:rPr>
          <w:rFonts w:hint="eastAsia" w:ascii="仿宋_GB2312" w:eastAsia="仿宋_GB2312"/>
          <w:sz w:val="30"/>
          <w:szCs w:val="30"/>
        </w:rPr>
        <w:t>指基础资产池的损失将导致该档次完全损失的分离值，取如下两者的较高值：（</w:t>
      </w:r>
      <w:r>
        <w:rPr>
          <w:rFonts w:ascii="仿宋_GB2312" w:eastAsia="仿宋_GB2312"/>
          <w:sz w:val="30"/>
          <w:szCs w:val="30"/>
        </w:rPr>
        <w:t>a</w:t>
      </w:r>
      <w:r>
        <w:rPr>
          <w:rFonts w:hint="eastAsia" w:ascii="仿宋_GB2312" w:eastAsia="仿宋_GB2312"/>
          <w:sz w:val="30"/>
          <w:szCs w:val="30"/>
        </w:rPr>
        <w:t>）</w:t>
      </w:r>
      <w:r>
        <w:rPr>
          <w:rFonts w:ascii="仿宋_GB2312" w:eastAsia="仿宋_GB2312"/>
          <w:sz w:val="30"/>
          <w:szCs w:val="30"/>
        </w:rPr>
        <w:t>0</w:t>
      </w:r>
      <w:r>
        <w:rPr>
          <w:rFonts w:hint="eastAsia" w:ascii="仿宋_GB2312" w:eastAsia="仿宋_GB2312"/>
          <w:sz w:val="30"/>
          <w:szCs w:val="30"/>
        </w:rPr>
        <w:t>；（b）基础资产池扣减所有优先级高于该档次的金额后的余额占资产池全部余额的比值。</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提供信用增级、可吸收损失的超额抵质押品和有资金支持的储备账户应视为一个档次，且储备账户的资产应视为基础资产。无资金支持的储备账户和不提供信用增级的资产，包括带触发条件且尚未发生的流动性支持、货币或利率互换，以及与其相关的现金抵押账户等，不应包含在上述计算中。商业银行应基于经济实质审慎计算。</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（四）</w:t>
      </w:r>
      <w:r>
        <w:rPr>
          <w:rFonts w:ascii="仿宋_GB2312" w:eastAsia="仿宋_GB2312"/>
          <w:sz w:val="30"/>
          <w:szCs w:val="30"/>
        </w:rPr>
        <w:t>监管因子（</w:t>
      </w:r>
      <w:r>
        <w:rPr>
          <w:rFonts w:hint="eastAsia" w:ascii="仿宋_GB2312" w:hAnsi="仿宋_GB2312" w:eastAsia="仿宋_GB2312" w:cs="仿宋_GB2312"/>
          <w:position w:val="-10"/>
          <w:sz w:val="30"/>
          <w:szCs w:val="30"/>
        </w:rPr>
        <w:object>
          <v:shape id="_x0000_i1051" o:spt="75" type="#_x0000_t75" style="height:18.65pt;width:18.65pt;" o:ole="t" filled="f" o:preferrelative="t" stroked="f" coordsize="21600,21600">
            <v:path/>
            <v:fill on="f" focussize="0,0"/>
            <v:stroke on="f" joinstyle="miter"/>
            <v:imagedata r:id="rId59" o:title=""/>
            <o:lock v:ext="edit" aspectratio="t"/>
            <w10:wrap type="none"/>
            <w10:anchorlock/>
          </v:shape>
          <o:OLEObject Type="Embed" ProgID="Equation.KSEE3" ShapeID="_x0000_i1051" DrawAspect="Content" ObjectID="_1468075752" r:id="rId58">
            <o:LockedField>false</o:LockedField>
          </o:OLEObject>
        </w:object>
      </w:r>
      <w:r>
        <w:rPr>
          <w:rFonts w:ascii="仿宋_GB2312" w:eastAsia="仿宋_GB2312"/>
          <w:sz w:val="30"/>
          <w:szCs w:val="30"/>
        </w:rPr>
        <w:t>）</w:t>
      </w:r>
      <w:r>
        <w:rPr>
          <w:rFonts w:hint="eastAsia" w:ascii="仿宋_GB2312" w:eastAsia="仿宋_GB2312"/>
          <w:sz w:val="30"/>
          <w:szCs w:val="30"/>
        </w:rPr>
        <w:t>的</w:t>
      </w:r>
      <w:r>
        <w:rPr>
          <w:rFonts w:ascii="仿宋_GB2312" w:eastAsia="仿宋_GB2312"/>
          <w:sz w:val="30"/>
          <w:szCs w:val="30"/>
        </w:rPr>
        <w:t>计算</w:t>
      </w:r>
      <w:r>
        <w:rPr>
          <w:rFonts w:hint="eastAsia" w:ascii="仿宋_GB2312" w:eastAsia="仿宋_GB2312"/>
          <w:sz w:val="30"/>
          <w:szCs w:val="30"/>
        </w:rPr>
        <w:t>公式为</w:t>
      </w:r>
      <w:r>
        <w:rPr>
          <w:rFonts w:ascii="仿宋_GB2312" w:eastAsia="仿宋_GB2312"/>
          <w:sz w:val="30"/>
          <w:szCs w:val="30"/>
        </w:rPr>
        <w:t>：</w:t>
      </w:r>
    </w:p>
    <w:p>
      <w:pPr>
        <w:spacing w:after="0" w:line="48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position w:val="-10"/>
          <w:sz w:val="30"/>
          <w:szCs w:val="30"/>
        </w:rPr>
        <w:object>
          <v:shape id="_x0000_i1052" o:spt="75" type="#_x0000_t75" style="height:19.35pt;width:368.65pt;" o:ole="t" filled="f" o:preferrelative="t" stroked="f" coordsize="21600,21600">
            <v:path/>
            <v:fill on="f" focussize="0,0"/>
            <v:stroke on="f" joinstyle="miter"/>
            <v:imagedata r:id="rId61" o:title=""/>
            <o:lock v:ext="edit" aspectratio="t"/>
            <w10:wrap type="none"/>
            <w10:anchorlock/>
          </v:shape>
          <o:OLEObject Type="Embed" ProgID="Equation.3" ShapeID="_x0000_i1052" DrawAspect="Content" ObjectID="_1468075753" r:id="rId60">
            <o:LockedField>false</o:LockedField>
          </o:OLEObject>
        </w:objec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如符合“简单、透明、可比”标准，</w:t>
      </w:r>
      <w:r>
        <w:rPr>
          <w:rFonts w:ascii="仿宋_GB2312" w:eastAsia="仿宋_GB2312"/>
          <w:sz w:val="30"/>
          <w:szCs w:val="30"/>
        </w:rPr>
        <w:t>监管因</w:t>
      </w:r>
      <w:r>
        <w:rPr>
          <w:rFonts w:hint="eastAsia" w:ascii="仿宋_GB2312" w:eastAsia="仿宋_GB2312"/>
          <w:sz w:val="30"/>
          <w:szCs w:val="30"/>
        </w:rPr>
        <w:t>子（</w:t>
      </w:r>
      <w:r>
        <w:rPr>
          <w:rFonts w:hint="eastAsia" w:ascii="仿宋_GB2312" w:hAnsi="仿宋_GB2312" w:eastAsia="仿宋_GB2312" w:cs="仿宋_GB2312"/>
          <w:position w:val="-10"/>
          <w:sz w:val="30"/>
          <w:szCs w:val="30"/>
        </w:rPr>
        <w:object>
          <v:shape id="_x0000_i1053" o:spt="75" type="#_x0000_t75" style="height:18.65pt;width:18.65pt;" o:ole="t" filled="f" o:preferrelative="t" stroked="f" coordsize="21600,21600">
            <v:path/>
            <v:fill on="f" focussize="0,0"/>
            <v:stroke on="f" joinstyle="miter"/>
            <v:imagedata r:id="rId59" o:title=""/>
            <o:lock v:ext="edit" aspectratio="t"/>
            <w10:wrap type="none"/>
            <w10:anchorlock/>
          </v:shape>
          <o:OLEObject Type="Embed" ProgID="Equation.KSEE3" ShapeID="_x0000_i1053" DrawAspect="Content" ObjectID="_1468075754" r:id="rId62">
            <o:LockedField>false</o:LockedField>
          </o:OLEObject>
        </w:object>
      </w:r>
      <w:r>
        <w:rPr>
          <w:rFonts w:ascii="仿宋_GB2312" w:eastAsia="仿宋_GB2312"/>
          <w:sz w:val="30"/>
          <w:szCs w:val="30"/>
        </w:rPr>
        <w:t>）采用以下公式计算：</w:t>
      </w:r>
    </w:p>
    <w:p>
      <w:pPr>
        <w:spacing w:after="0" w:line="240" w:lineRule="auto"/>
        <w:jc w:val="both"/>
        <w:rPr>
          <w:rFonts w:ascii="仿宋_GB2312" w:hAnsi="仿宋_GB2312" w:eastAsia="仿宋_GB2312" w:cs="仿宋_GB2312"/>
          <w:position w:val="-10"/>
          <w:sz w:val="30"/>
          <w:szCs w:val="30"/>
        </w:rPr>
      </w:pPr>
      <w:r>
        <w:rPr>
          <w:rFonts w:ascii="仿宋_GB2312" w:hAnsi="仿宋_GB2312" w:eastAsia="仿宋_GB2312" w:cs="仿宋_GB2312"/>
          <w:position w:val="-10"/>
          <w:sz w:val="30"/>
          <w:szCs w:val="30"/>
        </w:rPr>
        <w:pict>
          <v:shape id="对象 12" o:spid="_x0000_s2051" o:spt="75" type="#_x0000_t75" style="position:absolute;left:0pt;margin-left:2.15pt;margin-top:9.65pt;height:20.45pt;width:423.4pt;z-index:251660288;mso-width-relative:page;mso-height-relative:page;" o:ole="t" filled="f" o:preferrelative="t" stroked="f" coordsize="21600,21600">
            <v:path/>
            <v:fill on="f" focussize="0,0"/>
            <v:stroke on="f" joinstyle="miter"/>
            <v:imagedata r:id="rId64" o:title=""/>
            <o:lock v:ext="edit" aspectratio="t"/>
          </v:shape>
          <o:OLEObject Type="Embed" ProgID="Equation.3" ShapeID="对象 12" DrawAspect="Content" ObjectID="_1468075755" r:id="rId63">
            <o:LockedField>false</o:LockedField>
          </o:OLEObject>
        </w:pic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其中：</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0.3为监管因子</w:t>
      </w:r>
      <w:r>
        <w:rPr>
          <w:rFonts w:hint="eastAsia" w:ascii="仿宋_GB2312" w:hAnsi="仿宋_GB2312" w:eastAsia="仿宋_GB2312" w:cs="仿宋_GB2312"/>
          <w:position w:val="-10"/>
          <w:sz w:val="30"/>
          <w:szCs w:val="30"/>
        </w:rPr>
        <w:object>
          <v:shape id="_x0000_i1054" o:spt="75" type="#_x0000_t75" style="height:18.65pt;width:18.65pt;" o:ole="t" filled="f" o:preferrelative="t" stroked="f" coordsize="21600,21600">
            <v:path/>
            <v:fill on="f" focussize="0,0"/>
            <v:stroke on="f" joinstyle="miter"/>
            <v:imagedata r:id="rId59" o:title=""/>
            <o:lock v:ext="edit" aspectratio="t"/>
            <w10:wrap type="none"/>
            <w10:anchorlock/>
          </v:shape>
          <o:OLEObject Type="Embed" ProgID="Equation.KSEE3" ShapeID="_x0000_i1054" DrawAspect="Content" ObjectID="_1468075756" r:id="rId65">
            <o:LockedField>false</o:LockedField>
          </o:OLEObject>
        </w:object>
      </w:r>
      <w:r>
        <w:rPr>
          <w:rFonts w:ascii="仿宋_GB2312" w:eastAsia="仿宋_GB2312"/>
          <w:sz w:val="30"/>
          <w:szCs w:val="30"/>
        </w:rPr>
        <w:t>的</w:t>
      </w:r>
      <w:r>
        <w:rPr>
          <w:rFonts w:hint="eastAsia" w:ascii="仿宋_GB2312" w:eastAsia="仿宋_GB2312"/>
          <w:sz w:val="30"/>
          <w:szCs w:val="30"/>
        </w:rPr>
        <w:t>下限。</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w:t>
      </w:r>
      <w:r>
        <w:rPr>
          <w:rFonts w:hint="eastAsia" w:ascii="仿宋_GB2312" w:hAnsi="仿宋_GB2312" w:eastAsia="仿宋_GB2312" w:cs="仿宋_GB2312"/>
          <w:position w:val="-6"/>
          <w:sz w:val="30"/>
          <w:szCs w:val="30"/>
        </w:rPr>
        <w:object>
          <v:shape id="_x0000_i1055" o:spt="75" type="#_x0000_t75" style="height:20pt;width:20pt;" o:ole="t" filled="f" o:preferrelative="t" stroked="f" coordsize="21600,21600">
            <v:path/>
            <v:fill on="f" focussize="0,0"/>
            <v:stroke on="f" joinstyle="miter"/>
            <v:imagedata r:id="rId67" o:title=""/>
            <o:lock v:ext="edit" aspectratio="t"/>
            <w10:wrap type="none"/>
            <w10:anchorlock/>
          </v:shape>
          <o:OLEObject Type="Embed" ProgID="Equation.KSEE3" ShapeID="_x0000_i1055" DrawAspect="Content" ObjectID="_1468075757" r:id="rId66">
            <o:LockedField>false</o:LockedField>
          </o:OLEObject>
        </w:object>
      </w:r>
      <w:r>
        <w:rPr>
          <w:rFonts w:hint="eastAsia" w:ascii="仿宋_GB2312" w:eastAsia="仿宋_GB2312"/>
          <w:sz w:val="30"/>
          <w:szCs w:val="30"/>
        </w:rPr>
        <w:t>是基础</w:t>
      </w:r>
      <w:r>
        <w:rPr>
          <w:rFonts w:ascii="仿宋_GB2312" w:eastAsia="仿宋_GB2312"/>
          <w:sz w:val="30"/>
          <w:szCs w:val="30"/>
        </w:rPr>
        <w:t>资产池风险暴露的有效数量</w:t>
      </w:r>
      <w:r>
        <w:rPr>
          <w:rFonts w:hint="eastAsia" w:ascii="仿宋_GB2312" w:eastAsia="仿宋_GB2312"/>
          <w:sz w:val="30"/>
          <w:szCs w:val="30"/>
        </w:rPr>
        <w:t>，按下列公式</w:t>
      </w:r>
      <w:r>
        <w:rPr>
          <w:rFonts w:ascii="仿宋_GB2312" w:eastAsia="仿宋_GB2312"/>
          <w:sz w:val="30"/>
          <w:szCs w:val="30"/>
        </w:rPr>
        <w:t>计算：</w:t>
      </w:r>
    </w:p>
    <w:p>
      <w:pPr>
        <w:widowControl w:val="0"/>
        <w:spacing w:after="0" w:line="240" w:lineRule="auto"/>
        <w:jc w:val="center"/>
        <w:rPr>
          <w:rFonts w:ascii="仿宋_GB2312" w:hAnsi="Calibri" w:eastAsia="仿宋_GB2312"/>
          <w:kern w:val="2"/>
          <w:position w:val="-46"/>
          <w:sz w:val="30"/>
          <w:szCs w:val="30"/>
        </w:rPr>
      </w:pPr>
      <w:r>
        <w:rPr>
          <w:rFonts w:ascii="仿宋_GB2312" w:hAnsi="Calibri" w:eastAsia="仿宋_GB2312"/>
          <w:kern w:val="2"/>
          <w:position w:val="-46"/>
          <w:sz w:val="30"/>
          <w:szCs w:val="30"/>
        </w:rPr>
        <w:object>
          <v:shape id="_x0000_i1056" o:spt="75" type="#_x0000_t75" style="height:57.35pt;width:96pt;" o:ole="t" filled="f" o:preferrelative="t" stroked="f" coordsize="21600,21600">
            <v:path/>
            <v:fill on="f" focussize="0,0"/>
            <v:stroke on="f" joinstyle="miter"/>
            <v:imagedata r:id="rId69" o:title=""/>
            <o:lock v:ext="edit" aspectratio="t"/>
            <w10:wrap type="none"/>
            <w10:anchorlock/>
          </v:shape>
          <o:OLEObject Type="Embed" ProgID="Equation.3" ShapeID="_x0000_i1056" DrawAspect="Content" ObjectID="_1468075758" r:id="rId68">
            <o:LockedField>false</o:LockedField>
          </o:OLEObject>
        </w:object>
      </w:r>
    </w:p>
    <w:p>
      <w:pPr>
        <w:spacing w:after="0" w:line="480" w:lineRule="exact"/>
        <w:jc w:val="both"/>
        <w:rPr>
          <w:rFonts w:ascii="仿宋_GB2312" w:eastAsia="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position w:val="-12"/>
          <w:sz w:val="30"/>
          <w:szCs w:val="30"/>
        </w:rPr>
        <w:object>
          <v:shape id="_x0000_i1057" o:spt="75" type="#_x0000_t75" style="height:22.65pt;width:37.35pt;" o:ole="t" filled="f" o:preferrelative="t" stroked="f" coordsize="21600,21600">
            <v:path/>
            <v:fill on="f" focussize="0,0"/>
            <v:stroke on="f" joinstyle="miter"/>
            <v:imagedata r:id="rId71" o:title=""/>
            <o:lock v:ext="edit" aspectratio="t"/>
            <w10:wrap type="none"/>
            <w10:anchorlock/>
          </v:shape>
          <o:OLEObject Type="Embed" ProgID="Equation.3" ShapeID="_x0000_i1057" DrawAspect="Content" ObjectID="_1468075759" r:id="rId70">
            <o:LockedField>false</o:LockedField>
          </o:OLEObject>
        </w:object>
      </w:r>
      <w:r>
        <w:rPr>
          <w:rFonts w:hint="eastAsia" w:ascii="仿宋_GB2312" w:eastAsia="仿宋_GB2312"/>
          <w:sz w:val="30"/>
          <w:szCs w:val="30"/>
        </w:rPr>
        <w:t>为基础资产池中第</w:t>
      </w:r>
      <w:r>
        <w:rPr>
          <w:rFonts w:hint="eastAsia" w:ascii="仿宋_GB2312" w:hAnsi="仿宋_GB2312" w:eastAsia="仿宋_GB2312" w:cs="仿宋_GB2312"/>
          <w:position w:val="-6"/>
          <w:sz w:val="30"/>
          <w:szCs w:val="30"/>
        </w:rPr>
        <w:object>
          <v:shape id="_x0000_i1058" o:spt="75" type="#_x0000_t75" style="height:18.65pt;width:10pt;" o:ole="t" filled="f" o:preferrelative="t" stroked="f" coordsize="21600,21600">
            <v:path/>
            <v:fill on="f" focussize="0,0"/>
            <v:stroke on="f" joinstyle="miter"/>
            <v:imagedata r:id="rId73" o:title=""/>
            <o:lock v:ext="edit" aspectratio="t"/>
            <w10:wrap type="none"/>
            <w10:anchorlock/>
          </v:shape>
          <o:OLEObject Type="Embed" ProgID="Equation.KSEE3" ShapeID="_x0000_i1058" DrawAspect="Content" ObjectID="_1468075760" r:id="rId72">
            <o:LockedField>false</o:LockedField>
          </o:OLEObject>
        </w:object>
      </w:r>
      <w:r>
        <w:rPr>
          <w:rFonts w:ascii="仿宋_GB2312" w:eastAsia="仿宋_GB2312"/>
          <w:sz w:val="30"/>
          <w:szCs w:val="30"/>
        </w:rPr>
        <w:t>个债务人的违约风险暴露</w:t>
      </w:r>
      <w:r>
        <w:rPr>
          <w:rFonts w:hint="eastAsia" w:ascii="仿宋_GB2312" w:eastAsia="仿宋_GB2312"/>
          <w:sz w:val="30"/>
          <w:szCs w:val="30"/>
        </w:rPr>
        <w:t>，对</w:t>
      </w:r>
      <w:r>
        <w:rPr>
          <w:rFonts w:ascii="仿宋_GB2312" w:eastAsia="仿宋_GB2312"/>
          <w:sz w:val="30"/>
          <w:szCs w:val="30"/>
        </w:rPr>
        <w:t>同一债务人</w:t>
      </w:r>
      <w:r>
        <w:rPr>
          <w:rFonts w:hint="eastAsia" w:ascii="仿宋_GB2312" w:eastAsia="仿宋_GB2312"/>
          <w:sz w:val="30"/>
          <w:szCs w:val="30"/>
        </w:rPr>
        <w:t>的</w:t>
      </w:r>
      <w:r>
        <w:rPr>
          <w:rFonts w:ascii="仿宋_GB2312" w:eastAsia="仿宋_GB2312"/>
          <w:sz w:val="30"/>
          <w:szCs w:val="30"/>
        </w:rPr>
        <w:t>多个风险暴露应合并计算</w: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w:t>
      </w:r>
      <w:r>
        <w:rPr>
          <w:rFonts w:hint="eastAsia" w:ascii="仿宋_GB2312" w:hAnsi="仿宋_GB2312" w:eastAsia="仿宋_GB2312" w:cs="仿宋_GB2312"/>
          <w:position w:val="-6"/>
          <w:sz w:val="30"/>
          <w:szCs w:val="30"/>
        </w:rPr>
        <w:object>
          <v:shape id="_x0000_i1059" o:spt="75" type="#_x0000_t75" style="height:18pt;width:34pt;" o:ole="t" filled="f" o:preferrelative="t" stroked="f" coordsize="21600,21600">
            <v:path/>
            <v:fill on="f" focussize="0,0"/>
            <v:stroke on="f" joinstyle="miter"/>
            <v:imagedata r:id="rId75" o:title=""/>
            <o:lock v:ext="edit" aspectratio="t"/>
            <w10:wrap type="none"/>
            <w10:anchorlock/>
          </v:shape>
          <o:OLEObject Type="Embed" ProgID="Equation.KSEE3" ShapeID="_x0000_i1059" DrawAspect="Content" ObjectID="_1468075761" r:id="rId74">
            <o:LockedField>false</o:LockedField>
          </o:OLEObject>
        </w:object>
      </w:r>
      <w:r>
        <w:rPr>
          <w:rFonts w:hint="eastAsia" w:ascii="仿宋_GB2312" w:eastAsia="仿宋_GB2312"/>
          <w:sz w:val="30"/>
          <w:szCs w:val="30"/>
        </w:rPr>
        <w:t>是基础</w:t>
      </w:r>
      <w:r>
        <w:rPr>
          <w:rFonts w:ascii="仿宋_GB2312" w:eastAsia="仿宋_GB2312"/>
          <w:sz w:val="30"/>
          <w:szCs w:val="30"/>
        </w:rPr>
        <w:t>资产池</w:t>
      </w:r>
      <w:r>
        <w:rPr>
          <w:rFonts w:hint="eastAsia" w:ascii="仿宋_GB2312" w:eastAsia="仿宋_GB2312"/>
          <w:sz w:val="30"/>
          <w:szCs w:val="30"/>
        </w:rPr>
        <w:t>的</w:t>
      </w:r>
      <w:r>
        <w:rPr>
          <w:rFonts w:ascii="仿宋_GB2312" w:eastAsia="仿宋_GB2312"/>
          <w:sz w:val="30"/>
          <w:szCs w:val="30"/>
        </w:rPr>
        <w:t>加权平均违约损失率</w:t>
      </w:r>
      <w:r>
        <w:rPr>
          <w:rFonts w:hint="eastAsia" w:ascii="仿宋_GB2312" w:eastAsia="仿宋_GB2312"/>
          <w:sz w:val="30"/>
          <w:szCs w:val="30"/>
        </w:rPr>
        <w:t>，按下列公式计算</w:t>
      </w:r>
      <w:r>
        <w:rPr>
          <w:rFonts w:ascii="仿宋_GB2312" w:eastAsia="仿宋_GB2312"/>
          <w:sz w:val="30"/>
          <w:szCs w:val="30"/>
        </w:rPr>
        <w:t>：</w:t>
      </w:r>
    </w:p>
    <w:p>
      <w:pPr>
        <w:spacing w:after="0" w:line="240" w:lineRule="auto"/>
        <w:jc w:val="center"/>
        <w:rPr>
          <w:rFonts w:ascii="仿宋_GB2312" w:eastAsia="仿宋_GB2312"/>
          <w:sz w:val="30"/>
          <w:szCs w:val="30"/>
        </w:rPr>
      </w:pPr>
      <w:r>
        <w:rPr>
          <w:rFonts w:ascii="仿宋_GB2312" w:eastAsia="仿宋_GB2312"/>
          <w:position w:val="-46"/>
          <w:sz w:val="30"/>
          <w:szCs w:val="30"/>
        </w:rPr>
        <w:object>
          <v:shape id="_x0000_i1060" o:spt="75" type="#_x0000_t75" style="height:56pt;width:132.65pt;" o:ole="t" filled="f" o:preferrelative="t" stroked="f" coordsize="21600,21600">
            <v:path/>
            <v:fill on="f" focussize="0,0"/>
            <v:stroke on="f" joinstyle="miter"/>
            <v:imagedata r:id="rId77" o:title=""/>
            <o:lock v:ext="edit" aspectratio="t"/>
            <w10:wrap type="none"/>
            <w10:anchorlock/>
          </v:shape>
          <o:OLEObject Type="Embed" ProgID="Equation.3" ShapeID="_x0000_i1060" DrawAspect="Content" ObjectID="_1468075762" r:id="rId76">
            <o:LockedField>false</o:LockedField>
          </o:OLEObject>
        </w:object>
      </w:r>
    </w:p>
    <w:p>
      <w:pPr>
        <w:spacing w:after="0" w:line="480" w:lineRule="exact"/>
        <w:jc w:val="both"/>
        <w:rPr>
          <w:rFonts w:ascii="仿宋_GB2312" w:eastAsia="仿宋_GB2312"/>
          <w:sz w:val="30"/>
          <w:szCs w:val="30"/>
        </w:rPr>
      </w:pPr>
      <w:r>
        <w:rPr>
          <w:rFonts w:hint="eastAsia" w:ascii="仿宋_GB2312" w:eastAsia="仿宋_GB2312"/>
          <w:sz w:val="30"/>
          <w:szCs w:val="30"/>
        </w:rPr>
        <w:t>　　</w:t>
      </w:r>
      <w:r>
        <w:rPr>
          <w:rFonts w:hint="eastAsia" w:ascii="仿宋_GB2312" w:hAnsi="仿宋_GB2312" w:eastAsia="仿宋_GB2312" w:cs="仿宋_GB2312"/>
          <w:position w:val="-12"/>
          <w:sz w:val="30"/>
          <w:szCs w:val="30"/>
        </w:rPr>
        <w:object>
          <v:shape id="_x0000_i1061" o:spt="75" type="#_x0000_t75" style="height:20pt;width:32.65pt;" o:ole="t" filled="f" o:preferrelative="t" stroked="f" coordsize="21600,21600">
            <v:path/>
            <v:fill on="f" focussize="0,0"/>
            <v:stroke on="f" joinstyle="miter"/>
            <v:imagedata r:id="rId79" o:title=""/>
            <o:lock v:ext="edit" aspectratio="t"/>
            <w10:wrap type="none"/>
            <w10:anchorlock/>
          </v:shape>
          <o:OLEObject Type="Embed" ProgID="Equation.3" ShapeID="_x0000_i1061" DrawAspect="Content" ObjectID="_1468075763" r:id="rId78">
            <o:LockedField>false</o:LockedField>
          </o:OLEObject>
        </w:object>
      </w:r>
      <w:r>
        <w:rPr>
          <w:rFonts w:hint="eastAsia" w:ascii="仿宋_GB2312" w:eastAsia="仿宋_GB2312"/>
          <w:sz w:val="30"/>
          <w:szCs w:val="30"/>
        </w:rPr>
        <w:t>表示对第</w:t>
      </w:r>
      <w:r>
        <w:rPr>
          <w:rFonts w:hint="eastAsia" w:ascii="仿宋_GB2312" w:hAnsi="仿宋_GB2312" w:eastAsia="仿宋_GB2312" w:cs="仿宋_GB2312"/>
          <w:position w:val="-6"/>
          <w:sz w:val="30"/>
          <w:szCs w:val="30"/>
        </w:rPr>
        <w:object>
          <v:shape id="_x0000_i1062" o:spt="75" type="#_x0000_t75" style="height:18.65pt;width:10pt;" o:ole="t" filled="f" o:preferrelative="t" stroked="f" coordsize="21600,21600">
            <v:path/>
            <v:fill on="f" focussize="0,0"/>
            <v:stroke on="f" joinstyle="miter"/>
            <v:imagedata r:id="rId73" o:title=""/>
            <o:lock v:ext="edit" aspectratio="t"/>
            <w10:wrap type="none"/>
            <w10:anchorlock/>
          </v:shape>
          <o:OLEObject Type="Embed" ProgID="Equation.KSEE3" ShapeID="_x0000_i1062" DrawAspect="Content" ObjectID="_1468075764" r:id="rId80">
            <o:LockedField>false</o:LockedField>
          </o:OLEObject>
        </w:object>
      </w:r>
      <w:r>
        <w:rPr>
          <w:rFonts w:ascii="仿宋_GB2312" w:eastAsia="仿宋_GB2312"/>
          <w:sz w:val="30"/>
          <w:szCs w:val="30"/>
        </w:rPr>
        <w:t>个债务人的平均违约损失率。</w:t>
      </w:r>
    </w:p>
    <w:p>
      <w:pPr>
        <w:widowControl w:val="0"/>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4.如果基础资产池中最大的风险暴露占资产池份额低于0.03（含），则</w:t>
      </w:r>
      <w:r>
        <w:rPr>
          <w:rFonts w:hint="eastAsia" w:ascii="仿宋_GB2312" w:hAnsi="仿宋_GB2312" w:eastAsia="仿宋_GB2312" w:cs="仿宋_GB2312"/>
          <w:position w:val="-6"/>
          <w:sz w:val="30"/>
          <w:szCs w:val="30"/>
        </w:rPr>
        <w:object>
          <v:shape id="_x0000_i1063" o:spt="75" type="#_x0000_t75" style="height:18.65pt;width:37.35pt;" o:ole="t" filled="f" o:preferrelative="t" stroked="f" coordsize="21600,21600">
            <v:path/>
            <v:fill on="f" focussize="0,0"/>
            <v:stroke on="f" joinstyle="miter"/>
            <v:imagedata r:id="rId75" o:title=""/>
            <o:lock v:ext="edit" aspectratio="t"/>
            <w10:wrap type="none"/>
            <w10:anchorlock/>
          </v:shape>
          <o:OLEObject Type="Embed" ProgID="Equation.KSEE3" ShapeID="_x0000_i1063" DrawAspect="Content" ObjectID="_1468075765" r:id="rId81">
            <o:LockedField>false</o:LockedField>
          </o:OLEObject>
        </w:object>
      </w:r>
      <w:r>
        <w:rPr>
          <w:rFonts w:hint="eastAsia" w:ascii="仿宋_GB2312" w:eastAsia="仿宋_GB2312"/>
          <w:sz w:val="30"/>
          <w:szCs w:val="30"/>
        </w:rPr>
        <w:t>可采用0.5的固定值，并按如下公式简化计算</w:t>
      </w:r>
      <w:r>
        <w:rPr>
          <w:rFonts w:hint="eastAsia" w:ascii="仿宋_GB2312" w:hAnsi="仿宋_GB2312" w:eastAsia="仿宋_GB2312" w:cs="仿宋_GB2312"/>
          <w:position w:val="-6"/>
          <w:sz w:val="30"/>
          <w:szCs w:val="30"/>
        </w:rPr>
        <w:object>
          <v:shape id="_x0000_i1064" o:spt="75" type="#_x0000_t75" style="height:20pt;width:20pt;" o:ole="t" filled="f" o:preferrelative="t" stroked="f" coordsize="21600,21600">
            <v:path/>
            <v:fill on="f" focussize="0,0"/>
            <v:stroke on="f" joinstyle="miter"/>
            <v:imagedata r:id="rId67" o:title=""/>
            <o:lock v:ext="edit" aspectratio="t"/>
            <w10:wrap type="none"/>
            <w10:anchorlock/>
          </v:shape>
          <o:OLEObject Type="Embed" ProgID="Equation.KSEE3" ShapeID="_x0000_i1064" DrawAspect="Content" ObjectID="_1468075766" r:id="rId82">
            <o:LockedField>false</o:LockedField>
          </o:OLEObject>
        </w:object>
      </w:r>
      <w:r>
        <w:rPr>
          <w:rFonts w:hint="eastAsia" w:ascii="仿宋_GB2312" w:eastAsia="仿宋_GB2312"/>
          <w:sz w:val="30"/>
          <w:szCs w:val="30"/>
        </w:rPr>
        <w:t>：</w:t>
      </w:r>
    </w:p>
    <w:p>
      <w:pPr>
        <w:spacing w:after="0" w:line="240" w:lineRule="auto"/>
        <w:jc w:val="center"/>
        <w:rPr>
          <w:rFonts w:ascii="仿宋_GB2312" w:eastAsia="仿宋_GB2312"/>
          <w:sz w:val="30"/>
          <w:szCs w:val="30"/>
        </w:rPr>
      </w:pPr>
      <w:r>
        <w:rPr>
          <w:rFonts w:hint="eastAsia" w:ascii="仿宋_GB2312" w:eastAsia="仿宋_GB2312"/>
          <w:position w:val="-30"/>
          <w:sz w:val="30"/>
          <w:szCs w:val="30"/>
        </w:rPr>
        <w:object>
          <v:shape id="_x0000_i1065" o:spt="75" type="#_x0000_t75" style="height:44.65pt;width:264.65pt;" o:ole="t" filled="f" o:preferrelative="t" stroked="f" coordsize="21600,21600">
            <v:path/>
            <v:fill on="f" focussize="0,0"/>
            <v:stroke on="f" joinstyle="miter"/>
            <v:imagedata r:id="rId84" o:title=""/>
            <o:lock v:ext="edit" aspectratio="t"/>
            <w10:wrap type="none"/>
            <w10:anchorlock/>
          </v:shape>
          <o:OLEObject Type="Embed" ProgID="Equation.KSEE3" ShapeID="_x0000_i1065" DrawAspect="Content" ObjectID="_1468075767" r:id="rId83">
            <o:LockedField>false</o:LockedField>
          </o:OLEObject>
        </w:objec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其中</w:t>
      </w:r>
      <w:r>
        <w:rPr>
          <w:rFonts w:hint="eastAsia" w:ascii="仿宋_GB2312" w:hAnsi="仿宋_GB2312" w:eastAsia="仿宋_GB2312" w:cs="仿宋_GB2312"/>
          <w:position w:val="-12"/>
          <w:sz w:val="30"/>
          <w:szCs w:val="30"/>
        </w:rPr>
        <w:object>
          <v:shape id="_x0000_i1066" o:spt="75" type="#_x0000_t75" style="height:22.65pt;width:21.35pt;" o:ole="t" filled="f" o:preferrelative="t" stroked="f" coordsize="21600,21600">
            <v:path/>
            <v:fill on="f" focussize="0,0"/>
            <v:stroke on="f" joinstyle="miter"/>
            <v:imagedata r:id="rId86" o:title=""/>
            <o:lock v:ext="edit" aspectratio="t"/>
            <w10:wrap type="none"/>
            <w10:anchorlock/>
          </v:shape>
          <o:OLEObject Type="Embed" ProgID="Equation.3" ShapeID="_x0000_i1066" DrawAspect="Content" ObjectID="_1468075768" r:id="rId85">
            <o:LockedField>false</o:LockedField>
          </o:OLEObject>
        </w:object>
      </w:r>
      <w:r>
        <w:rPr>
          <w:rFonts w:hint="eastAsia" w:ascii="仿宋_GB2312" w:eastAsia="仿宋_GB2312"/>
          <w:sz w:val="30"/>
          <w:szCs w:val="30"/>
        </w:rPr>
        <w:t>指基础资产池中最大</w:t>
      </w:r>
      <w:r>
        <w:rPr>
          <w:rFonts w:hint="eastAsia" w:ascii="仿宋_GB2312" w:hAnsi="仿宋_GB2312" w:eastAsia="仿宋_GB2312" w:cs="仿宋_GB2312"/>
          <w:position w:val="-6"/>
          <w:sz w:val="30"/>
          <w:szCs w:val="30"/>
        </w:rPr>
        <w:object>
          <v:shape id="_x0000_i1067" o:spt="75" type="#_x0000_t75" style="height:16pt;width:18.65pt;" o:ole="t" filled="f" o:preferrelative="t" stroked="f" coordsize="21600,21600">
            <v:path/>
            <v:fill on="f" focussize="0,0"/>
            <v:stroke on="f" joinstyle="miter"/>
            <v:imagedata r:id="rId88" o:title=""/>
            <o:lock v:ext="edit" aspectratio="t"/>
            <w10:wrap type="none"/>
            <w10:anchorlock/>
          </v:shape>
          <o:OLEObject Type="Embed" ProgID="Equation.KSEE3" ShapeID="_x0000_i1067" DrawAspect="Content" ObjectID="_1468075769" r:id="rId87">
            <o:LockedField>false</o:LockedField>
          </o:OLEObject>
        </w:object>
      </w:r>
      <w:r>
        <w:rPr>
          <w:rFonts w:ascii="仿宋_GB2312" w:eastAsia="仿宋_GB2312"/>
          <w:sz w:val="30"/>
          <w:szCs w:val="30"/>
        </w:rPr>
        <w:t>项风险暴露之和占</w:t>
      </w:r>
      <w:r>
        <w:rPr>
          <w:rFonts w:hint="eastAsia" w:ascii="仿宋_GB2312" w:eastAsia="仿宋_GB2312"/>
          <w:sz w:val="30"/>
          <w:szCs w:val="30"/>
        </w:rPr>
        <w:t>资产池</w:t>
      </w:r>
      <w:r>
        <w:rPr>
          <w:rFonts w:ascii="仿宋_GB2312" w:eastAsia="仿宋_GB2312"/>
          <w:sz w:val="30"/>
          <w:szCs w:val="30"/>
        </w:rPr>
        <w:t>的份额，</w:t>
      </w:r>
      <w:r>
        <w:rPr>
          <w:rFonts w:hint="eastAsia" w:ascii="仿宋_GB2312" w:hAnsi="仿宋_GB2312" w:eastAsia="仿宋_GB2312" w:cs="仿宋_GB2312"/>
          <w:position w:val="-6"/>
          <w:sz w:val="30"/>
          <w:szCs w:val="30"/>
        </w:rPr>
        <w:object>
          <v:shape id="_x0000_i1068" o:spt="75" type="#_x0000_t75" style="height:16pt;width:18.65pt;" o:ole="t" filled="f" o:preferrelative="t" stroked="f" coordsize="21600,21600">
            <v:path/>
            <v:fill on="f" focussize="0,0"/>
            <v:stroke on="f" joinstyle="miter"/>
            <v:imagedata r:id="rId88" o:title=""/>
            <o:lock v:ext="edit" aspectratio="t"/>
            <w10:wrap type="none"/>
            <w10:anchorlock/>
          </v:shape>
          <o:OLEObject Type="Embed" ProgID="Equation.KSEE3" ShapeID="_x0000_i1068" DrawAspect="Content" ObjectID="_1468075770" r:id="rId89">
            <o:LockedField>false</o:LockedField>
          </o:OLEObject>
        </w:object>
      </w:r>
      <w:r>
        <w:rPr>
          <w:rFonts w:ascii="仿宋_GB2312" w:eastAsia="仿宋_GB2312"/>
          <w:sz w:val="30"/>
          <w:szCs w:val="30"/>
        </w:rPr>
        <w:t>由</w:t>
      </w:r>
      <w:r>
        <w:rPr>
          <w:rFonts w:hint="eastAsia" w:ascii="仿宋_GB2312" w:eastAsia="仿宋_GB2312"/>
          <w:sz w:val="30"/>
          <w:szCs w:val="30"/>
        </w:rPr>
        <w:t>商业</w:t>
      </w:r>
      <w:r>
        <w:rPr>
          <w:rFonts w:ascii="仿宋_GB2312" w:eastAsia="仿宋_GB2312"/>
          <w:sz w:val="30"/>
          <w:szCs w:val="30"/>
        </w:rPr>
        <w:t>银行自行确定。</w:t>
      </w:r>
      <w:r>
        <w:rPr>
          <w:rFonts w:hint="eastAsia" w:ascii="仿宋_GB2312" w:eastAsia="仿宋_GB2312"/>
          <w:sz w:val="30"/>
          <w:szCs w:val="30"/>
        </w:rPr>
        <w:t>如果只有</w:t>
      </w:r>
      <w:r>
        <w:rPr>
          <w:rFonts w:hint="eastAsia" w:ascii="仿宋_GB2312" w:hAnsi="仿宋_GB2312" w:eastAsia="仿宋_GB2312" w:cs="仿宋_GB2312"/>
          <w:position w:val="-10"/>
          <w:sz w:val="30"/>
          <w:szCs w:val="30"/>
        </w:rPr>
        <w:object>
          <v:shape id="_x0000_i1069" o:spt="75" type="#_x0000_t75" style="height:21.35pt;width:18.65pt;" o:ole="t" filled="f" o:preferrelative="t" stroked="f" coordsize="21600,21600">
            <v:path/>
            <v:fill on="f" focussize="0,0"/>
            <v:stroke on="f" joinstyle="miter"/>
            <v:imagedata r:id="rId91" o:title=""/>
            <o:lock v:ext="edit" aspectratio="t"/>
            <w10:wrap type="none"/>
            <w10:anchorlock/>
          </v:shape>
          <o:OLEObject Type="Embed" ProgID="Equation.3" ShapeID="_x0000_i1069" DrawAspect="Content" ObjectID="_1468075771" r:id="rId90">
            <o:LockedField>false</o:LockedField>
          </o:OLEObject>
        </w:object>
      </w:r>
      <w:r>
        <w:rPr>
          <w:rFonts w:hint="eastAsia" w:ascii="仿宋_GB2312" w:eastAsia="仿宋_GB2312"/>
          <w:sz w:val="30"/>
          <w:szCs w:val="30"/>
        </w:rPr>
        <w:t>已知且</w:t>
      </w:r>
      <w:r>
        <w:rPr>
          <w:rFonts w:hint="eastAsia" w:ascii="仿宋_GB2312" w:hAnsi="仿宋_GB2312" w:eastAsia="仿宋_GB2312" w:cs="仿宋_GB2312"/>
          <w:position w:val="-10"/>
          <w:sz w:val="30"/>
          <w:szCs w:val="30"/>
        </w:rPr>
        <w:object>
          <v:shape id="_x0000_i1070" o:spt="75" type="#_x0000_t75" style="height:21.35pt;width:60.65pt;" o:ole="t" filled="f" o:preferrelative="t" stroked="f" coordsize="21600,21600">
            <v:path/>
            <v:fill on="f" focussize="0,0"/>
            <v:stroke on="f" joinstyle="miter"/>
            <v:imagedata r:id="rId93" o:title=""/>
            <o:lock v:ext="edit" aspectratio="t"/>
            <w10:wrap type="none"/>
            <w10:anchorlock/>
          </v:shape>
          <o:OLEObject Type="Embed" ProgID="Equation.3" ShapeID="_x0000_i1070" DrawAspect="Content" ObjectID="_1468075772" r:id="rId92">
            <o:LockedField>false</o:LockedField>
          </o:OLEObject>
        </w:object>
      </w:r>
      <w:r>
        <w:rPr>
          <w:rFonts w:ascii="仿宋_GB2312" w:eastAsia="仿宋_GB2312"/>
          <w:sz w:val="30"/>
          <w:szCs w:val="30"/>
        </w:rPr>
        <w:t>，则</w:t>
      </w:r>
      <w:r>
        <w:rPr>
          <w:rFonts w:hint="eastAsia" w:ascii="仿宋_GB2312" w:hAnsi="仿宋_GB2312" w:eastAsia="仿宋_GB2312" w:cs="仿宋_GB2312"/>
          <w:position w:val="-6"/>
          <w:sz w:val="30"/>
          <w:szCs w:val="30"/>
        </w:rPr>
        <w:object>
          <v:shape id="_x0000_i1071" o:spt="75" type="#_x0000_t75" style="height:18.65pt;width:72.65pt;" o:ole="t" filled="f" o:preferrelative="t" stroked="f" coordsize="21600,21600">
            <v:path/>
            <v:fill on="f" focussize="0,0"/>
            <v:stroke on="f" joinstyle="miter"/>
            <v:imagedata r:id="rId95" o:title=""/>
            <o:lock v:ext="edit" aspectratio="t"/>
            <w10:wrap type="none"/>
            <w10:anchorlock/>
          </v:shape>
          <o:OLEObject Type="Embed" ProgID="Equation.KSEE3" ShapeID="_x0000_i1071" DrawAspect="Content" ObjectID="_1468075773" r:id="rId94">
            <o:LockedField>false</o:LockedField>
          </o:OLEObject>
        </w:object>
      </w:r>
      <w:r>
        <w:rPr>
          <w:rFonts w:ascii="仿宋_GB2312" w:eastAsia="仿宋_GB2312"/>
          <w:sz w:val="30"/>
          <w:szCs w:val="30"/>
        </w:rPr>
        <w:t>，</w:t>
      </w:r>
      <w:r>
        <w:rPr>
          <w:rFonts w:ascii="仿宋_GB2312" w:eastAsia="仿宋_GB2312"/>
          <w:position w:val="-10"/>
          <w:sz w:val="30"/>
          <w:szCs w:val="30"/>
        </w:rPr>
        <w:object>
          <v:shape id="_x0000_i1072" o:spt="75" type="#_x0000_t75" style="height:22.65pt;width:61.35pt;" o:ole="t" filled="f" o:preferrelative="t" stroked="f" coordsize="21600,21600">
            <v:path/>
            <v:fill on="f" focussize="0,0"/>
            <v:stroke on="f" joinstyle="miter"/>
            <v:imagedata r:id="rId97" o:title=""/>
            <o:lock v:ext="edit" aspectratio="t"/>
            <w10:wrap type="none"/>
            <w10:anchorlock/>
          </v:shape>
          <o:OLEObject Type="Embed" ProgID="Equation.KSEE3" ShapeID="_x0000_i1072" DrawAspect="Content" ObjectID="_1468075774" r:id="rId96">
            <o:LockedField>false</o:LockedField>
          </o:OLEObject>
        </w:objec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5.档次剩余期限（</w:t>
      </w:r>
      <w:r>
        <w:rPr>
          <w:rFonts w:hint="eastAsia" w:ascii="仿宋_GB2312" w:eastAsia="仿宋_GB2312"/>
          <w:sz w:val="30"/>
          <w:szCs w:val="30"/>
        </w:rPr>
        <w:drawing>
          <wp:inline distT="0" distB="0" distL="0" distR="0">
            <wp:extent cx="318135" cy="260985"/>
            <wp:effectExtent l="0" t="0" r="0" b="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318135" cy="260985"/>
                    </a:xfrm>
                    <a:prstGeom prst="rect">
                      <a:avLst/>
                    </a:prstGeom>
                    <a:noFill/>
                    <a:ln>
                      <a:noFill/>
                    </a:ln>
                    <a:effectLst/>
                  </pic:spPr>
                </pic:pic>
              </a:graphicData>
            </a:graphic>
          </wp:inline>
        </w:drawing>
      </w:r>
      <w:r>
        <w:rPr>
          <w:rFonts w:hint="eastAsia" w:ascii="仿宋_GB2312" w:eastAsia="仿宋_GB2312"/>
          <w:sz w:val="30"/>
          <w:szCs w:val="30"/>
        </w:rPr>
        <w:t>）指各档次的剩余有效期限，最低</w:t>
      </w:r>
      <w:r>
        <w:rPr>
          <w:rFonts w:ascii="仿宋_GB2312" w:eastAsia="仿宋_GB2312"/>
          <w:sz w:val="30"/>
          <w:szCs w:val="30"/>
        </w:rPr>
        <w:t>1年，最高5年。</w:t>
      </w:r>
      <w:r>
        <w:rPr>
          <w:rFonts w:hint="eastAsia" w:ascii="仿宋_GB2312" w:eastAsia="仿宋_GB2312"/>
          <w:sz w:val="30"/>
          <w:szCs w:val="30"/>
        </w:rPr>
        <w:t>商业银行可自行在下列两种方法中选择：</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（1）合约现金流加权平均法，计算公式如下：</w:t>
      </w:r>
    </w:p>
    <w:p>
      <w:pPr>
        <w:spacing w:after="0" w:line="240" w:lineRule="auto"/>
        <w:jc w:val="center"/>
        <w:rPr>
          <w:rFonts w:ascii="仿宋_GB2312" w:eastAsia="仿宋_GB2312"/>
          <w:sz w:val="30"/>
          <w:szCs w:val="30"/>
        </w:rPr>
      </w:pPr>
      <w:r>
        <w:rPr>
          <w:rFonts w:hint="eastAsia" w:ascii="仿宋_GB2312" w:eastAsia="仿宋_GB2312"/>
          <w:sz w:val="30"/>
          <w:szCs w:val="30"/>
        </w:rPr>
        <w:drawing>
          <wp:inline distT="0" distB="0" distL="0" distR="0">
            <wp:extent cx="1667510" cy="382905"/>
            <wp:effectExtent l="0" t="0" r="0" b="0"/>
            <wp:docPr id="5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1667510" cy="382905"/>
                    </a:xfrm>
                    <a:prstGeom prst="rect">
                      <a:avLst/>
                    </a:prstGeom>
                    <a:noFill/>
                    <a:ln>
                      <a:noFill/>
                    </a:ln>
                    <a:effectLst/>
                  </pic:spPr>
                </pic:pic>
              </a:graphicData>
            </a:graphic>
          </wp:inline>
        </w:drawing>
      </w:r>
    </w:p>
    <w:p>
      <w:pPr>
        <w:spacing w:after="0" w:line="480" w:lineRule="exact"/>
        <w:jc w:val="both"/>
        <w:rPr>
          <w:rFonts w:ascii="仿宋_GB2312" w:eastAsia="仿宋_GB2312"/>
          <w:sz w:val="30"/>
          <w:szCs w:val="30"/>
        </w:rPr>
      </w:pPr>
      <w:r>
        <w:rPr>
          <w:rFonts w:hint="eastAsia" w:ascii="仿宋_GB2312" w:hAnsi="仿宋_GB2312" w:eastAsia="仿宋_GB2312" w:cs="仿宋_GB2312"/>
          <w:position w:val="-12"/>
          <w:sz w:val="30"/>
          <w:szCs w:val="30"/>
        </w:rPr>
        <w:object>
          <v:shape id="_x0000_i1073" o:spt="75" type="#_x0000_t75" style="height:22.65pt;width:25.35pt;" o:ole="t" filled="f" o:preferrelative="t" stroked="f" coordsize="21600,21600">
            <v:path/>
            <v:fill on="f" focussize="0,0"/>
            <v:stroke on="f" joinstyle="miter"/>
            <v:imagedata r:id="rId101" o:title=""/>
            <o:lock v:ext="edit" aspectratio="t"/>
            <w10:wrap type="none"/>
            <w10:anchorlock/>
          </v:shape>
          <o:OLEObject Type="Embed" ProgID="Equation.3" ShapeID="_x0000_i1073" DrawAspect="Content" ObjectID="_1468075775" r:id="rId100">
            <o:LockedField>false</o:LockedField>
          </o:OLEObject>
        </w:object>
      </w:r>
      <w:r>
        <w:rPr>
          <w:rFonts w:hint="eastAsia" w:ascii="仿宋_GB2312" w:eastAsia="仿宋_GB2312"/>
          <w:sz w:val="30"/>
          <w:szCs w:val="30"/>
        </w:rPr>
        <w:t>为借款人</w:t>
      </w:r>
      <w:r>
        <w:rPr>
          <w:rFonts w:ascii="仿宋_GB2312" w:eastAsia="仿宋_GB2312"/>
          <w:sz w:val="30"/>
          <w:szCs w:val="30"/>
        </w:rPr>
        <w:t>按合约</w:t>
      </w:r>
      <w:r>
        <w:rPr>
          <w:rFonts w:hint="eastAsia" w:ascii="仿宋_GB2312" w:eastAsia="仿宋_GB2312"/>
          <w:sz w:val="30"/>
          <w:szCs w:val="30"/>
        </w:rPr>
        <w:t>在期间</w:t>
      </w:r>
      <w:r>
        <w:rPr>
          <w:rFonts w:hint="eastAsia" w:ascii="仿宋_GB2312" w:hAnsi="仿宋_GB2312" w:eastAsia="仿宋_GB2312" w:cs="仿宋_GB2312"/>
          <w:position w:val="-6"/>
          <w:sz w:val="30"/>
          <w:szCs w:val="30"/>
        </w:rPr>
        <w:object>
          <v:shape id="_x0000_i1074" o:spt="75" type="#_x0000_t75" style="height:18.65pt;width:10pt;" o:ole="t" filled="f" o:preferrelative="t" stroked="f" coordsize="21600,21600">
            <v:path/>
            <v:fill on="f" focussize="0,0"/>
            <v:stroke on="f" joinstyle="miter"/>
            <v:imagedata r:id="rId103" o:title=""/>
            <o:lock v:ext="edit" aspectratio="t"/>
            <w10:wrap type="none"/>
            <w10:anchorlock/>
          </v:shape>
          <o:OLEObject Type="Embed" ProgID="Equation.KSEE3" ShapeID="_x0000_i1074" DrawAspect="Content" ObjectID="_1468075776" r:id="rId102">
            <o:LockedField>false</o:LockedField>
          </o:OLEObject>
        </w:object>
      </w:r>
      <w:r>
        <w:rPr>
          <w:rFonts w:ascii="仿宋_GB2312" w:eastAsia="仿宋_GB2312"/>
          <w:sz w:val="30"/>
          <w:szCs w:val="30"/>
        </w:rPr>
        <w:t>内</w:t>
      </w:r>
      <w:r>
        <w:rPr>
          <w:rFonts w:hint="eastAsia" w:ascii="仿宋_GB2312" w:eastAsia="仿宋_GB2312"/>
          <w:sz w:val="30"/>
          <w:szCs w:val="30"/>
        </w:rPr>
        <w:t>应偿</w:t>
      </w:r>
      <w:r>
        <w:rPr>
          <w:rFonts w:ascii="仿宋_GB2312" w:eastAsia="仿宋_GB2312"/>
          <w:sz w:val="30"/>
          <w:szCs w:val="30"/>
        </w:rPr>
        <w:t>付的现金流（本金、利息及费用）。</w:t>
      </w:r>
      <w:r>
        <w:rPr>
          <w:rFonts w:hint="eastAsia" w:ascii="仿宋_GB2312" w:eastAsia="仿宋_GB2312"/>
          <w:sz w:val="30"/>
          <w:szCs w:val="30"/>
        </w:rPr>
        <w:t>合约偿付应是无条件的，与基础资产池的表现无关。</w:t>
      </w:r>
      <w:r>
        <w:rPr>
          <w:rFonts w:ascii="仿宋_GB2312" w:eastAsia="仿宋_GB2312"/>
          <w:sz w:val="30"/>
          <w:szCs w:val="30"/>
        </w:rPr>
        <w:t>如果</w:t>
      </w:r>
      <w:r>
        <w:rPr>
          <w:rFonts w:hint="eastAsia" w:ascii="仿宋_GB2312" w:eastAsia="仿宋_GB2312"/>
          <w:sz w:val="30"/>
          <w:szCs w:val="30"/>
        </w:rPr>
        <w:t>合约偿付</w:t>
      </w:r>
      <w:r>
        <w:rPr>
          <w:rFonts w:ascii="仿宋_GB2312" w:eastAsia="仿宋_GB2312"/>
          <w:sz w:val="30"/>
          <w:szCs w:val="30"/>
        </w:rPr>
        <w:t>日期无法</w:t>
      </w:r>
      <w:r>
        <w:rPr>
          <w:rFonts w:hint="eastAsia" w:ascii="仿宋_GB2312" w:eastAsia="仿宋_GB2312"/>
          <w:sz w:val="30"/>
          <w:szCs w:val="30"/>
        </w:rPr>
        <w:t>获取</w:t>
      </w:r>
      <w:r>
        <w:rPr>
          <w:rFonts w:ascii="仿宋_GB2312" w:eastAsia="仿宋_GB2312"/>
          <w:sz w:val="30"/>
          <w:szCs w:val="30"/>
        </w:rPr>
        <w:t>，则</w:t>
      </w:r>
      <w:r>
        <w:rPr>
          <w:rFonts w:hint="eastAsia" w:ascii="仿宋_GB2312" w:eastAsia="仿宋_GB2312"/>
          <w:sz w:val="30"/>
          <w:szCs w:val="30"/>
        </w:rPr>
        <w:t>应</w:t>
      </w:r>
      <w:r>
        <w:rPr>
          <w:rFonts w:ascii="仿宋_GB2312" w:eastAsia="仿宋_GB2312"/>
          <w:sz w:val="30"/>
          <w:szCs w:val="30"/>
        </w:rPr>
        <w:t>使用</w:t>
      </w:r>
      <w:r>
        <w:rPr>
          <w:rFonts w:hint="eastAsia" w:ascii="仿宋_GB2312" w:eastAsia="仿宋_GB2312"/>
          <w:sz w:val="30"/>
          <w:szCs w:val="30"/>
        </w:rPr>
        <w:t>最终</w:t>
      </w:r>
      <w:r>
        <w:rPr>
          <w:rFonts w:ascii="仿宋_GB2312" w:eastAsia="仿宋_GB2312"/>
          <w:sz w:val="30"/>
          <w:szCs w:val="30"/>
        </w:rPr>
        <w:t>法定到期</w:t>
      </w:r>
      <w:r>
        <w:rPr>
          <w:rFonts w:hint="eastAsia" w:ascii="仿宋_GB2312" w:eastAsia="仿宋_GB2312"/>
          <w:sz w:val="30"/>
          <w:szCs w:val="30"/>
        </w:rPr>
        <w:t>日法</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（2）最终法定到期日法，</w:t>
      </w:r>
      <w:r>
        <w:rPr>
          <w:rFonts w:ascii="仿宋_GB2312" w:eastAsia="仿宋_GB2312"/>
          <w:sz w:val="30"/>
          <w:szCs w:val="30"/>
        </w:rPr>
        <w:t>计算公式如下：</w:t>
      </w:r>
    </w:p>
    <w:p>
      <w:pPr>
        <w:spacing w:after="0" w:line="480" w:lineRule="exact"/>
        <w:ind w:firstLine="600" w:firstLineChars="200"/>
        <w:jc w:val="center"/>
        <w:rPr>
          <w:rFonts w:ascii="仿宋_GB2312" w:eastAsia="仿宋_GB2312"/>
          <w:sz w:val="30"/>
          <w:szCs w:val="30"/>
        </w:rPr>
      </w:pPr>
      <w:r>
        <w:rPr>
          <w:rFonts w:hint="eastAsia" w:ascii="仿宋_GB2312" w:eastAsia="仿宋_GB2312"/>
          <w:position w:val="-10"/>
          <w:sz w:val="30"/>
          <w:szCs w:val="30"/>
        </w:rPr>
        <w:object>
          <v:shape id="_x0000_i1075" o:spt="75" type="#_x0000_t75" style="height:19.35pt;width:136pt;" o:ole="t" filled="f" o:preferrelative="t" stroked="f" coordsize="21600,21600">
            <v:path/>
            <v:fill on="f" focussize="0,0"/>
            <v:stroke on="f" joinstyle="miter"/>
            <v:imagedata r:id="rId105" o:title=""/>
            <o:lock v:ext="edit" aspectratio="t"/>
            <w10:wrap type="none"/>
            <w10:anchorlock/>
          </v:shape>
          <o:OLEObject Type="Embed" ProgID="Equation.KSEE3" ShapeID="_x0000_i1075" DrawAspect="Content" ObjectID="_1468075777" r:id="rId104">
            <o:LockedField>false</o:LockedField>
          </o:OLEObject>
        </w:object>
      </w:r>
    </w:p>
    <w:p>
      <w:pPr>
        <w:spacing w:after="0" w:line="480" w:lineRule="exact"/>
        <w:jc w:val="both"/>
        <w:rPr>
          <w:rFonts w:ascii="仿宋_GB2312" w:eastAsia="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position w:val="-10"/>
          <w:sz w:val="30"/>
          <w:szCs w:val="30"/>
        </w:rPr>
        <w:object>
          <v:shape id="_x0000_i1076" o:spt="75" type="#_x0000_t75" style="height:21.35pt;width:25.35pt;" o:ole="t" filled="f" o:preferrelative="t" stroked="f" coordsize="21600,21600">
            <v:path/>
            <v:fill on="f" focussize="0,0"/>
            <v:stroke on="f" joinstyle="miter"/>
            <v:imagedata r:id="rId107" o:title=""/>
            <o:lock v:ext="edit" aspectratio="t"/>
            <w10:wrap type="none"/>
            <w10:anchorlock/>
          </v:shape>
          <o:OLEObject Type="Embed" ProgID="Equation.3" ShapeID="_x0000_i1076" DrawAspect="Content" ObjectID="_1468075778" r:id="rId106">
            <o:LockedField>false</o:LockedField>
          </o:OLEObject>
        </w:object>
      </w:r>
      <w:r>
        <w:rPr>
          <w:rFonts w:hint="eastAsia" w:ascii="仿宋_GB2312" w:eastAsia="仿宋_GB2312"/>
          <w:sz w:val="30"/>
          <w:szCs w:val="30"/>
        </w:rPr>
        <w:t>是该档次的最终法定到期日。</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6.参数</w:t>
      </w:r>
      <w:r>
        <w:rPr>
          <w:rFonts w:hint="eastAsia" w:ascii="仿宋_GB2312" w:hAnsi="仿宋_GB2312" w:eastAsia="仿宋_GB2312" w:cs="仿宋_GB2312"/>
          <w:sz w:val="30"/>
          <w:szCs w:val="30"/>
        </w:rPr>
        <w:t>Ａ、Ｂ、Ｃ、Ｄ、Ｅ</w:t>
      </w:r>
      <w:r>
        <w:rPr>
          <w:rFonts w:hint="eastAsia" w:ascii="仿宋_GB2312" w:eastAsia="仿宋_GB2312"/>
          <w:sz w:val="30"/>
          <w:szCs w:val="30"/>
        </w:rPr>
        <w:t>的数值具体按表1规定</w:t>
      </w:r>
      <w:r>
        <w:rPr>
          <w:rFonts w:ascii="仿宋_GB2312" w:eastAsia="仿宋_GB2312"/>
          <w:sz w:val="30"/>
          <w:szCs w:val="30"/>
        </w:rPr>
        <w:t>：</w:t>
      </w:r>
    </w:p>
    <w:p>
      <w:pPr>
        <w:widowControl w:val="0"/>
        <w:adjustRightInd w:val="0"/>
        <w:snapToGrid w:val="0"/>
        <w:spacing w:after="0" w:line="240" w:lineRule="auto"/>
        <w:jc w:val="center"/>
        <w:outlineLvl w:val="1"/>
        <w:rPr>
          <w:rFonts w:ascii="楷体_GB2312" w:eastAsia="楷体_GB2312"/>
          <w:b/>
          <w:bCs/>
          <w:kern w:val="2"/>
          <w:sz w:val="28"/>
          <w:szCs w:val="28"/>
        </w:rPr>
      </w:pPr>
      <w:r>
        <w:rPr>
          <w:rFonts w:hint="eastAsia" w:ascii="楷体_GB2312" w:eastAsia="楷体_GB2312"/>
          <w:b/>
          <w:bCs/>
          <w:kern w:val="2"/>
          <w:sz w:val="28"/>
          <w:szCs w:val="28"/>
        </w:rPr>
        <w:t>表1</w:t>
      </w:r>
      <w:r>
        <w:rPr>
          <w:rFonts w:ascii="楷体_GB2312" w:eastAsia="楷体_GB2312"/>
          <w:b/>
          <w:bCs/>
          <w:kern w:val="2"/>
          <w:sz w:val="28"/>
          <w:szCs w:val="28"/>
        </w:rPr>
        <w:t xml:space="preserve"> </w:t>
      </w:r>
      <w:r>
        <w:rPr>
          <w:rFonts w:hint="eastAsia" w:ascii="楷体_GB2312" w:eastAsia="楷体_GB2312"/>
          <w:b/>
          <w:bCs/>
          <w:kern w:val="2"/>
          <w:sz w:val="28"/>
          <w:szCs w:val="28"/>
        </w:rPr>
        <w:t>监管因子参数表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28"/>
        <w:gridCol w:w="925"/>
        <w:gridCol w:w="925"/>
        <w:gridCol w:w="996"/>
        <w:gridCol w:w="9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3280" w:type="dxa"/>
            <w:gridSpan w:val="2"/>
            <w:vAlign w:val="center"/>
          </w:tcPr>
          <w:p>
            <w:pPr>
              <w:spacing w:after="0" w:line="240" w:lineRule="auto"/>
              <w:jc w:val="center"/>
              <w:rPr>
                <w:rFonts w:ascii="宋体" w:hAnsi="宋体" w:eastAsia="宋体" w:cs="宋体"/>
                <w:b/>
                <w:bCs/>
                <w:sz w:val="24"/>
                <w:szCs w:val="24"/>
              </w:rPr>
            </w:pPr>
          </w:p>
        </w:tc>
        <w:tc>
          <w:tcPr>
            <w:tcW w:w="925"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Ａ</w:t>
            </w:r>
          </w:p>
        </w:tc>
        <w:tc>
          <w:tcPr>
            <w:tcW w:w="925"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Ｂ</w:t>
            </w:r>
          </w:p>
        </w:tc>
        <w:tc>
          <w:tcPr>
            <w:tcW w:w="996"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Ｃ</w:t>
            </w:r>
          </w:p>
        </w:tc>
        <w:tc>
          <w:tcPr>
            <w:tcW w:w="925"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Ｄ</w:t>
            </w:r>
          </w:p>
        </w:tc>
        <w:tc>
          <w:tcPr>
            <w:tcW w:w="926"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652" w:type="dxa"/>
            <w:vMerge w:val="restart"/>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非零售</w:t>
            </w:r>
          </w:p>
        </w:tc>
        <w:tc>
          <w:tcPr>
            <w:tcW w:w="2628"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优先档次，资产池分散</w:t>
            </w:r>
            <w:r>
              <w:rPr>
                <w:rFonts w:ascii="宋体" w:hAnsi="宋体" w:eastAsia="宋体" w:cs="宋体"/>
                <w:sz w:val="24"/>
                <w:szCs w:val="24"/>
              </w:rPr>
              <w:t>(</w:t>
            </w:r>
            <w:r>
              <w:rPr>
                <w:rFonts w:hint="eastAsia" w:ascii="宋体" w:hAnsi="宋体" w:eastAsia="宋体" w:cs="宋体"/>
                <w:position w:val="-6"/>
                <w:sz w:val="24"/>
                <w:szCs w:val="24"/>
              </w:rPr>
              <w:object>
                <v:shape id="_x0000_i1077" o:spt="75" type="#_x0000_t75" style="height:14pt;width:38.65pt;" o:ole="t" filled="f" o:preferrelative="t" stroked="f" coordsize="21600,21600">
                  <v:path/>
                  <v:fill on="f" focussize="0,0"/>
                  <v:stroke on="f" joinstyle="miter"/>
                  <v:imagedata r:id="rId109" o:title=""/>
                  <o:lock v:ext="edit" aspectratio="t"/>
                  <w10:wrap type="none"/>
                  <w10:anchorlock/>
                </v:shape>
                <o:OLEObject Type="Embed" ProgID="Equation.KSEE3" ShapeID="_x0000_i1077" DrawAspect="Content" ObjectID="_1468075779" r:id="rId108">
                  <o:LockedField>false</o:LockedField>
                </o:OLEObject>
              </w:object>
            </w:r>
            <w:r>
              <w:rPr>
                <w:rFonts w:hint="eastAsia" w:ascii="宋体" w:hAnsi="宋体" w:eastAsia="宋体" w:cs="宋体"/>
                <w:sz w:val="24"/>
                <w:szCs w:val="24"/>
              </w:rPr>
              <w:t>）</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3.56</w:t>
            </w:r>
          </w:p>
        </w:tc>
        <w:tc>
          <w:tcPr>
            <w:tcW w:w="99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-1.85</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0.55</w:t>
            </w:r>
          </w:p>
        </w:tc>
        <w:tc>
          <w:tcPr>
            <w:tcW w:w="92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blHeader/>
          <w:jc w:val="center"/>
        </w:trPr>
        <w:tc>
          <w:tcPr>
            <w:tcW w:w="652" w:type="dxa"/>
            <w:vMerge w:val="continue"/>
            <w:vAlign w:val="center"/>
          </w:tcPr>
          <w:p>
            <w:pPr>
              <w:spacing w:after="0" w:line="240" w:lineRule="auto"/>
              <w:jc w:val="both"/>
              <w:rPr>
                <w:rFonts w:ascii="宋体" w:hAnsi="宋体" w:eastAsia="宋体" w:cs="宋体"/>
                <w:sz w:val="24"/>
                <w:szCs w:val="24"/>
              </w:rPr>
            </w:pPr>
          </w:p>
        </w:tc>
        <w:tc>
          <w:tcPr>
            <w:tcW w:w="2628"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优先档次，资产池不分散</w:t>
            </w:r>
            <w:r>
              <w:rPr>
                <w:rFonts w:ascii="宋体" w:hAnsi="宋体" w:eastAsia="宋体" w:cs="宋体"/>
                <w:sz w:val="24"/>
                <w:szCs w:val="24"/>
              </w:rPr>
              <w:t>(</w:t>
            </w:r>
            <w:r>
              <w:rPr>
                <w:rFonts w:hint="eastAsia" w:ascii="宋体" w:hAnsi="宋体" w:eastAsia="宋体" w:cs="宋体"/>
                <w:position w:val="-6"/>
                <w:sz w:val="24"/>
                <w:szCs w:val="24"/>
              </w:rPr>
              <w:object>
                <v:shape id="_x0000_i1078" o:spt="75" type="#_x0000_t75" style="height:14pt;width:38.65pt;" o:ole="t" filled="f" o:preferrelative="t" stroked="f" coordsize="21600,21600">
                  <v:path/>
                  <v:fill on="f" focussize="0,0"/>
                  <v:stroke on="f" joinstyle="miter"/>
                  <v:imagedata r:id="rId111" o:title=""/>
                  <o:lock v:ext="edit" aspectratio="t"/>
                  <w10:wrap type="none"/>
                  <w10:anchorlock/>
                </v:shape>
                <o:OLEObject Type="Embed" ProgID="Equation.KSEE3" ShapeID="_x0000_i1078" DrawAspect="Content" ObjectID="_1468075780" r:id="rId110">
                  <o:LockedField>false</o:LockedField>
                </o:OLEObject>
              </w:object>
            </w:r>
            <w:r>
              <w:rPr>
                <w:rFonts w:hint="eastAsia" w:ascii="宋体" w:hAnsi="宋体" w:eastAsia="宋体" w:cs="宋体"/>
                <w:sz w:val="24"/>
                <w:szCs w:val="24"/>
              </w:rPr>
              <w:t>）</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0.11</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2.61</w:t>
            </w:r>
          </w:p>
        </w:tc>
        <w:tc>
          <w:tcPr>
            <w:tcW w:w="99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-2.91</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0.68</w:t>
            </w:r>
          </w:p>
        </w:tc>
        <w:tc>
          <w:tcPr>
            <w:tcW w:w="92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652" w:type="dxa"/>
            <w:vMerge w:val="continue"/>
            <w:vAlign w:val="center"/>
          </w:tcPr>
          <w:p>
            <w:pPr>
              <w:spacing w:after="0" w:line="240" w:lineRule="auto"/>
              <w:jc w:val="both"/>
              <w:rPr>
                <w:rFonts w:ascii="宋体" w:hAnsi="宋体" w:eastAsia="宋体" w:cs="宋体"/>
                <w:sz w:val="24"/>
                <w:szCs w:val="24"/>
              </w:rPr>
            </w:pPr>
          </w:p>
        </w:tc>
        <w:tc>
          <w:tcPr>
            <w:tcW w:w="2628"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非优先档次，资产池分散</w:t>
            </w:r>
            <w:r>
              <w:rPr>
                <w:rFonts w:ascii="宋体" w:hAnsi="宋体" w:eastAsia="宋体" w:cs="宋体"/>
                <w:sz w:val="24"/>
                <w:szCs w:val="24"/>
              </w:rPr>
              <w:t>(</w:t>
            </w:r>
            <w:r>
              <w:rPr>
                <w:rFonts w:hint="eastAsia" w:ascii="宋体" w:hAnsi="宋体" w:eastAsia="宋体" w:cs="宋体"/>
                <w:position w:val="-6"/>
                <w:sz w:val="24"/>
                <w:szCs w:val="24"/>
              </w:rPr>
              <w:object>
                <v:shape id="_x0000_i1079" o:spt="75" type="#_x0000_t75" style="height:14pt;width:38.65pt;" o:ole="t" filled="f" o:preferrelative="t" stroked="f" coordsize="21600,21600">
                  <v:path/>
                  <v:fill on="f" focussize="0,0"/>
                  <v:stroke on="f" joinstyle="miter"/>
                  <v:imagedata r:id="rId109" o:title=""/>
                  <o:lock v:ext="edit" aspectratio="t"/>
                  <w10:wrap type="none"/>
                  <w10:anchorlock/>
                </v:shape>
                <o:OLEObject Type="Embed" ProgID="Equation.KSEE3" ShapeID="_x0000_i1079" DrawAspect="Content" ObjectID="_1468075781" r:id="rId112">
                  <o:LockedField>false</o:LockedField>
                </o:OLEObject>
              </w:object>
            </w:r>
            <w:r>
              <w:rPr>
                <w:rFonts w:hint="eastAsia" w:ascii="宋体" w:hAnsi="宋体" w:eastAsia="宋体" w:cs="宋体"/>
                <w:sz w:val="24"/>
                <w:szCs w:val="24"/>
              </w:rPr>
              <w:t>）</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0.16</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2.87</w:t>
            </w:r>
          </w:p>
        </w:tc>
        <w:tc>
          <w:tcPr>
            <w:tcW w:w="99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-1.03</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0.21</w:t>
            </w:r>
          </w:p>
        </w:tc>
        <w:tc>
          <w:tcPr>
            <w:tcW w:w="92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652" w:type="dxa"/>
            <w:vMerge w:val="continue"/>
            <w:vAlign w:val="center"/>
          </w:tcPr>
          <w:p>
            <w:pPr>
              <w:spacing w:after="0" w:line="240" w:lineRule="auto"/>
              <w:jc w:val="both"/>
              <w:rPr>
                <w:rFonts w:ascii="宋体" w:hAnsi="宋体" w:eastAsia="宋体" w:cs="宋体"/>
                <w:sz w:val="24"/>
                <w:szCs w:val="24"/>
              </w:rPr>
            </w:pPr>
          </w:p>
        </w:tc>
        <w:tc>
          <w:tcPr>
            <w:tcW w:w="2628"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非优先档次，资产池不分散</w:t>
            </w:r>
            <w:r>
              <w:rPr>
                <w:rFonts w:ascii="宋体" w:hAnsi="宋体" w:eastAsia="宋体" w:cs="宋体"/>
                <w:sz w:val="24"/>
                <w:szCs w:val="24"/>
              </w:rPr>
              <w:t>(</w:t>
            </w:r>
            <w:r>
              <w:rPr>
                <w:rFonts w:hint="eastAsia" w:ascii="宋体" w:hAnsi="宋体" w:eastAsia="宋体" w:cs="宋体"/>
                <w:position w:val="-6"/>
                <w:sz w:val="24"/>
                <w:szCs w:val="24"/>
              </w:rPr>
              <w:object>
                <v:shape id="_x0000_i1080" o:spt="75" type="#_x0000_t75" style="height:14pt;width:38.65pt;" o:ole="t" filled="f" o:preferrelative="t" stroked="f" coordsize="21600,21600">
                  <v:path/>
                  <v:fill on="f" focussize="0,0"/>
                  <v:stroke on="f" joinstyle="miter"/>
                  <v:imagedata r:id="rId111" o:title=""/>
                  <o:lock v:ext="edit" aspectratio="t"/>
                  <w10:wrap type="none"/>
                  <w10:anchorlock/>
                </v:shape>
                <o:OLEObject Type="Embed" ProgID="Equation.KSEE3" ShapeID="_x0000_i1080" DrawAspect="Content" ObjectID="_1468075782" r:id="rId113">
                  <o:LockedField>false</o:LockedField>
                </o:OLEObject>
              </w:object>
            </w:r>
            <w:r>
              <w:rPr>
                <w:rFonts w:hint="eastAsia" w:ascii="宋体" w:hAnsi="宋体" w:eastAsia="宋体" w:cs="宋体"/>
                <w:sz w:val="24"/>
                <w:szCs w:val="24"/>
              </w:rPr>
              <w:t>）</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0.22</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2.35</w:t>
            </w:r>
          </w:p>
        </w:tc>
        <w:tc>
          <w:tcPr>
            <w:tcW w:w="99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-2.46</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0.48</w:t>
            </w:r>
          </w:p>
        </w:tc>
        <w:tc>
          <w:tcPr>
            <w:tcW w:w="92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blHeader/>
          <w:jc w:val="center"/>
        </w:trPr>
        <w:tc>
          <w:tcPr>
            <w:tcW w:w="652" w:type="dxa"/>
            <w:vMerge w:val="restart"/>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零售</w:t>
            </w:r>
          </w:p>
        </w:tc>
        <w:tc>
          <w:tcPr>
            <w:tcW w:w="2628"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优先档次</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w:t>
            </w:r>
          </w:p>
        </w:tc>
        <w:tc>
          <w:tcPr>
            <w:tcW w:w="99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-7.48</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0.71</w:t>
            </w:r>
          </w:p>
        </w:tc>
        <w:tc>
          <w:tcPr>
            <w:tcW w:w="92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jc w:val="center"/>
        </w:trPr>
        <w:tc>
          <w:tcPr>
            <w:tcW w:w="652" w:type="dxa"/>
            <w:vMerge w:val="continue"/>
            <w:vAlign w:val="center"/>
          </w:tcPr>
          <w:p>
            <w:pPr>
              <w:spacing w:after="0" w:line="240" w:lineRule="auto"/>
              <w:jc w:val="both"/>
              <w:rPr>
                <w:rFonts w:ascii="宋体" w:hAnsi="宋体" w:eastAsia="宋体" w:cs="宋体"/>
                <w:sz w:val="24"/>
                <w:szCs w:val="24"/>
              </w:rPr>
            </w:pPr>
          </w:p>
        </w:tc>
        <w:tc>
          <w:tcPr>
            <w:tcW w:w="2628" w:type="dxa"/>
            <w:vAlign w:val="center"/>
          </w:tcPr>
          <w:p>
            <w:pPr>
              <w:spacing w:after="0" w:line="240" w:lineRule="auto"/>
              <w:jc w:val="center"/>
              <w:rPr>
                <w:rFonts w:ascii="宋体" w:hAnsi="宋体" w:eastAsia="宋体" w:cs="宋体"/>
                <w:sz w:val="24"/>
                <w:szCs w:val="24"/>
              </w:rPr>
            </w:pPr>
            <w:r>
              <w:rPr>
                <w:rFonts w:hint="eastAsia" w:ascii="宋体" w:hAnsi="宋体" w:eastAsia="宋体" w:cs="宋体"/>
                <w:sz w:val="24"/>
                <w:szCs w:val="24"/>
              </w:rPr>
              <w:t>非优先档次</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w:t>
            </w:r>
          </w:p>
        </w:tc>
        <w:tc>
          <w:tcPr>
            <w:tcW w:w="99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-5.78</w:t>
            </w:r>
          </w:p>
        </w:tc>
        <w:tc>
          <w:tcPr>
            <w:tcW w:w="925"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0.55</w:t>
            </w:r>
          </w:p>
        </w:tc>
        <w:tc>
          <w:tcPr>
            <w:tcW w:w="92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0.27</w:t>
            </w:r>
          </w:p>
        </w:tc>
      </w:tr>
    </w:tbl>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对“混合资产池”，</w:t>
      </w:r>
      <w:r>
        <w:rPr>
          <w:rFonts w:ascii="仿宋_GB2312" w:eastAsia="仿宋_GB2312"/>
          <w:sz w:val="30"/>
          <w:szCs w:val="30"/>
        </w:rPr>
        <w:t>监管</w:t>
      </w:r>
      <w:r>
        <w:rPr>
          <w:rFonts w:hint="eastAsia" w:ascii="仿宋_GB2312" w:eastAsia="仿宋_GB2312"/>
          <w:sz w:val="30"/>
          <w:szCs w:val="30"/>
        </w:rPr>
        <w:t>因子</w:t>
      </w:r>
      <w:r>
        <w:rPr>
          <w:rFonts w:hint="eastAsia" w:ascii="仿宋_GB2312" w:hAnsi="仿宋_GB2312" w:eastAsia="仿宋_GB2312" w:cs="仿宋_GB2312"/>
          <w:position w:val="-10"/>
          <w:sz w:val="30"/>
          <w:szCs w:val="30"/>
        </w:rPr>
        <w:object>
          <v:shape id="_x0000_i1081" o:spt="75" type="#_x0000_t75" style="height:18.65pt;width:18.65pt;" o:ole="t" filled="f" o:preferrelative="t" stroked="f" coordsize="21600,21600">
            <v:path/>
            <v:fill on="f" focussize="0,0"/>
            <v:stroke on="f" joinstyle="miter"/>
            <v:imagedata r:id="rId59" o:title=""/>
            <o:lock v:ext="edit" aspectratio="t"/>
            <w10:wrap type="none"/>
            <w10:anchorlock/>
          </v:shape>
          <o:OLEObject Type="Embed" ProgID="Equation.KSEE3" ShapeID="_x0000_i1081" DrawAspect="Content" ObjectID="_1468075783" r:id="rId114">
            <o:LockedField>false</o:LockedField>
          </o:OLEObject>
        </w:object>
      </w:r>
      <w:r>
        <w:rPr>
          <w:rFonts w:hint="eastAsia" w:ascii="仿宋_GB2312" w:eastAsia="仿宋_GB2312"/>
          <w:sz w:val="30"/>
          <w:szCs w:val="30"/>
        </w:rPr>
        <w:t>的计算应仅考虑使用信用风险内部评级法的基础资产部分，不考虑使用信用风险权重法的基础资产部分。</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（五）</w:t>
      </w:r>
      <w:r>
        <w:rPr>
          <w:rFonts w:hint="eastAsia" w:ascii="仿宋_GB2312" w:hAnsi="仿宋_GB2312" w:eastAsia="仿宋_GB2312" w:cs="仿宋_GB2312"/>
          <w:position w:val="-14"/>
          <w:sz w:val="30"/>
          <w:szCs w:val="30"/>
        </w:rPr>
        <w:object>
          <v:shape id="_x0000_i1082" o:spt="75" type="#_x0000_t75" style="height:23.35pt;width:64pt;" o:ole="t" filled="f" o:preferrelative="t" stroked="f" coordsize="21600,21600">
            <v:path/>
            <v:fill on="f" focussize="0,0"/>
            <v:stroke on="f" joinstyle="miter"/>
            <v:imagedata r:id="rId40" o:title=""/>
            <o:lock v:ext="edit" aspectratio="t"/>
            <w10:wrap type="none"/>
            <w10:anchorlock/>
          </v:shape>
          <o:OLEObject Type="Embed" ProgID="Equation.KSEE3" ShapeID="_x0000_i1082" DrawAspect="Content" ObjectID="_1468075784" r:id="rId115">
            <o:LockedField>false</o:LockedField>
          </o:OLEObject>
        </w:object>
      </w:r>
      <w:r>
        <w:rPr>
          <w:rFonts w:hint="eastAsia" w:ascii="仿宋_GB2312" w:eastAsia="仿宋_GB2312"/>
          <w:sz w:val="30"/>
          <w:szCs w:val="30"/>
        </w:rPr>
        <w:t>是每单位资产证券化风险暴露的资本要求，计算公式如下：</w:t>
      </w:r>
    </w:p>
    <w:p>
      <w:pPr>
        <w:spacing w:after="0" w:line="640" w:lineRule="atLeast"/>
        <w:jc w:val="center"/>
        <w:rPr>
          <w:rFonts w:ascii="仿宋_GB2312" w:eastAsia="仿宋_GB2312"/>
          <w:sz w:val="30"/>
          <w:szCs w:val="30"/>
        </w:rPr>
      </w:pPr>
      <w:r>
        <w:rPr>
          <w:rFonts w:hint="eastAsia" w:ascii="仿宋_GB2312" w:hAnsi="仿宋_GB2312" w:eastAsia="仿宋_GB2312" w:cs="仿宋_GB2312"/>
          <w:position w:val="-28"/>
          <w:sz w:val="30"/>
          <w:szCs w:val="30"/>
        </w:rPr>
        <w:object>
          <v:shape id="_x0000_i1083" o:spt="75" type="#_x0000_t75" style="height:42pt;width:138pt;" o:ole="t" filled="f" o:preferrelative="t" stroked="f" coordsize="21600,21600">
            <v:path/>
            <v:fill on="f" focussize="0,0"/>
            <v:stroke on="f" joinstyle="miter"/>
            <v:imagedata r:id="rId117" o:title=""/>
            <o:lock v:ext="edit" aspectratio="t"/>
            <w10:wrap type="none"/>
            <w10:anchorlock/>
          </v:shape>
          <o:OLEObject Type="Embed" ProgID="Equation.KSEE3" ShapeID="_x0000_i1083" DrawAspect="Content" ObjectID="_1468075785" r:id="rId116">
            <o:LockedField>false</o:LockedField>
          </o:OLEObject>
        </w:object>
      </w:r>
    </w:p>
    <w:p>
      <w:pPr>
        <w:spacing w:after="0" w:line="480" w:lineRule="exact"/>
        <w:jc w:val="both"/>
        <w:rPr>
          <w:rFonts w:ascii="仿宋_GB2312" w:eastAsia="仿宋_GB2312"/>
          <w:sz w:val="30"/>
          <w:szCs w:val="30"/>
        </w:rPr>
      </w:pPr>
      <w:r>
        <w:rPr>
          <w:rFonts w:hint="eastAsia" w:ascii="仿宋_GB2312" w:eastAsia="仿宋_GB2312"/>
          <w:sz w:val="30"/>
          <w:szCs w:val="30"/>
        </w:rPr>
        <w:t>　　其中：</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1.常数</w:t>
      </w:r>
      <w:r>
        <w:rPr>
          <w:rFonts w:hint="eastAsia" w:ascii="仿宋_GB2312" w:hAnsi="仿宋_GB2312" w:eastAsia="仿宋_GB2312" w:cs="仿宋_GB2312"/>
          <w:position w:val="-6"/>
          <w:sz w:val="30"/>
          <w:szCs w:val="30"/>
        </w:rPr>
        <w:object>
          <v:shape id="_x0000_i1084" o:spt="75" type="#_x0000_t75" style="height:16pt;width:14pt;" o:ole="t" filled="f" o:preferrelative="t" stroked="f" coordsize="21600,21600">
            <v:path/>
            <v:fill on="f" focussize="0,0"/>
            <v:stroke on="f" joinstyle="miter"/>
            <v:imagedata r:id="rId119" o:title=""/>
            <o:lock v:ext="edit" aspectratio="t"/>
            <w10:wrap type="none"/>
            <w10:anchorlock/>
          </v:shape>
          <o:OLEObject Type="Embed" ProgID="Equation.KSEE3" ShapeID="_x0000_i1084" DrawAspect="Content" ObjectID="_1468075786" r:id="rId118">
            <o:LockedField>false</o:LockedField>
          </o:OLEObject>
        </w:object>
      </w:r>
      <w:r>
        <w:rPr>
          <w:rFonts w:ascii="仿宋_GB2312" w:eastAsia="仿宋_GB2312"/>
          <w:sz w:val="30"/>
          <w:szCs w:val="30"/>
        </w:rPr>
        <w:t>是自然对数的基数(</w:t>
      </w:r>
      <w:r>
        <w:rPr>
          <w:rFonts w:hint="eastAsia" w:ascii="仿宋_GB2312" w:eastAsia="仿宋_GB2312"/>
          <w:sz w:val="30"/>
          <w:szCs w:val="30"/>
        </w:rPr>
        <w:t>约</w:t>
      </w:r>
      <w:r>
        <w:rPr>
          <w:rFonts w:ascii="仿宋_GB2312" w:eastAsia="仿宋_GB2312"/>
          <w:sz w:val="30"/>
          <w:szCs w:val="30"/>
        </w:rPr>
        <w:t>等于2.71828）</w: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2.变量</w:t>
      </w:r>
      <w:r>
        <w:rPr>
          <w:rFonts w:hint="eastAsia" w:ascii="仿宋_GB2312" w:hAnsi="仿宋_GB2312" w:eastAsia="仿宋_GB2312" w:cs="仿宋_GB2312"/>
          <w:position w:val="-6"/>
          <w:sz w:val="30"/>
          <w:szCs w:val="30"/>
        </w:rPr>
        <w:object>
          <v:shape id="_x0000_i1085" o:spt="75" type="#_x0000_t75" style="height:16pt;width:15.35pt;" o:ole="t" filled="f" o:preferrelative="t" stroked="f" coordsize="21600,21600">
            <v:path/>
            <v:fill on="f" focussize="0,0"/>
            <v:stroke on="f" joinstyle="miter"/>
            <v:imagedata r:id="rId121" o:title=""/>
            <o:lock v:ext="edit" aspectratio="t"/>
            <w10:wrap type="none"/>
            <w10:anchorlock/>
          </v:shape>
          <o:OLEObject Type="Embed" ProgID="Equation.KSEE3" ShapeID="_x0000_i1085" DrawAspect="Content" ObjectID="_1468075787" r:id="rId120">
            <o:LockedField>false</o:LockedField>
          </o:OLEObject>
        </w:object>
      </w:r>
      <w:r>
        <w:rPr>
          <w:rFonts w:hint="eastAsia" w:ascii="仿宋_GB2312" w:eastAsia="仿宋_GB2312"/>
          <w:sz w:val="30"/>
          <w:szCs w:val="30"/>
        </w:rPr>
        <w:t>，</w:t>
      </w:r>
      <w:r>
        <w:rPr>
          <w:rFonts w:hint="eastAsia" w:ascii="仿宋_GB2312" w:hAnsi="仿宋_GB2312" w:eastAsia="仿宋_GB2312" w:cs="仿宋_GB2312"/>
          <w:position w:val="-6"/>
          <w:sz w:val="30"/>
          <w:szCs w:val="30"/>
        </w:rPr>
        <w:object>
          <v:shape id="_x0000_i1086" o:spt="75" type="#_x0000_t75" style="height:16pt;width:15.35pt;" o:ole="t" filled="f" o:preferrelative="t" stroked="f" coordsize="21600,21600">
            <v:path/>
            <v:fill on="f" focussize="0,0"/>
            <v:stroke on="f" joinstyle="miter"/>
            <v:imagedata r:id="rId123" o:title=""/>
            <o:lock v:ext="edit" aspectratio="t"/>
            <w10:wrap type="none"/>
            <w10:anchorlock/>
          </v:shape>
          <o:OLEObject Type="Embed" ProgID="Equation.KSEE3" ShapeID="_x0000_i1086" DrawAspect="Content" ObjectID="_1468075788" r:id="rId122">
            <o:LockedField>false</o:LockedField>
          </o:OLEObject>
        </w:object>
      </w:r>
      <w:r>
        <w:rPr>
          <w:rFonts w:ascii="仿宋_GB2312" w:eastAsia="仿宋_GB2312"/>
          <w:sz w:val="30"/>
          <w:szCs w:val="30"/>
        </w:rPr>
        <w:t>和</w:t>
      </w:r>
      <w:r>
        <w:rPr>
          <w:rFonts w:hint="eastAsia" w:ascii="仿宋_GB2312" w:hAnsi="仿宋_GB2312" w:eastAsia="仿宋_GB2312" w:cs="仿宋_GB2312"/>
          <w:position w:val="-6"/>
          <w:sz w:val="30"/>
          <w:szCs w:val="30"/>
        </w:rPr>
        <w:object>
          <v:shape id="_x0000_i1087" o:spt="75" type="#_x0000_t75" style="height:20pt;width:10pt;" o:ole="t" filled="f" o:preferrelative="t" stroked="f" coordsize="21600,21600">
            <v:path/>
            <v:fill on="f" focussize="0,0"/>
            <v:stroke on="f" joinstyle="miter"/>
            <v:imagedata r:id="rId125" o:title=""/>
            <o:lock v:ext="edit" aspectratio="t"/>
            <w10:wrap type="none"/>
            <w10:anchorlock/>
          </v:shape>
          <o:OLEObject Type="Embed" ProgID="Equation.KSEE3" ShapeID="_x0000_i1087" DrawAspect="Content" ObjectID="_1468075789" r:id="rId124">
            <o:LockedField>false</o:LockedField>
          </o:OLEObject>
        </w:object>
      </w:r>
      <w:r>
        <w:rPr>
          <w:rFonts w:hint="eastAsia" w:ascii="仿宋_GB2312" w:eastAsia="仿宋_GB2312"/>
          <w:sz w:val="30"/>
          <w:szCs w:val="30"/>
        </w:rPr>
        <w:t>的计算公式为：</w:t>
      </w:r>
    </w:p>
    <w:p>
      <w:pPr>
        <w:spacing w:after="0" w:line="240" w:lineRule="auto"/>
        <w:jc w:val="center"/>
        <w:rPr>
          <w:rFonts w:ascii="仿宋_GB2312" w:eastAsia="仿宋_GB2312"/>
          <w:sz w:val="30"/>
          <w:szCs w:val="30"/>
        </w:rPr>
      </w:pPr>
      <w:r>
        <w:rPr>
          <w:rFonts w:hint="eastAsia" w:ascii="仿宋_GB2312" w:hAnsi="仿宋_GB2312" w:eastAsia="仿宋_GB2312" w:cs="仿宋_GB2312"/>
          <w:position w:val="-10"/>
          <w:sz w:val="30"/>
          <w:szCs w:val="30"/>
        </w:rPr>
        <w:object>
          <v:shape id="_x0000_i1088" o:spt="75" type="#_x0000_t75" style="height:22.65pt;width:118.65pt;" o:ole="t" filled="f" o:preferrelative="t" stroked="f" coordsize="21600,21600">
            <v:path/>
            <v:fill on="f" focussize="0,0"/>
            <v:stroke on="f" joinstyle="miter"/>
            <v:imagedata r:id="rId127" o:title=""/>
            <o:lock v:ext="edit" aspectratio="t"/>
            <w10:wrap type="none"/>
            <w10:anchorlock/>
          </v:shape>
          <o:OLEObject Type="Embed" ProgID="Equation.KSEE3" ShapeID="_x0000_i1088" DrawAspect="Content" ObjectID="_1468075790" r:id="rId126">
            <o:LockedField>false</o:LockedField>
          </o:OLEObject>
        </w:object>
      </w:r>
    </w:p>
    <w:p>
      <w:pPr>
        <w:spacing w:after="0" w:line="240" w:lineRule="auto"/>
        <w:ind w:firstLine="1500" w:firstLineChars="500"/>
        <w:jc w:val="center"/>
        <w:rPr>
          <w:rFonts w:ascii="仿宋_GB2312" w:eastAsia="仿宋_GB2312"/>
          <w:sz w:val="30"/>
          <w:szCs w:val="30"/>
        </w:rPr>
      </w:pPr>
      <w:r>
        <w:rPr>
          <w:rFonts w:hint="eastAsia" w:ascii="仿宋_GB2312" w:hAnsi="仿宋_GB2312" w:eastAsia="仿宋_GB2312" w:cs="仿宋_GB2312"/>
          <w:position w:val="-10"/>
          <w:sz w:val="30"/>
          <w:szCs w:val="30"/>
        </w:rPr>
        <w:object>
          <v:shape id="_x0000_i1089" o:spt="75" type="#_x0000_t75" style="height:20pt;width:74.65pt;" o:ole="t" filled="f" o:preferrelative="t" stroked="f" coordsize="21600,21600">
            <v:path/>
            <v:fill on="f" focussize="0,0"/>
            <v:stroke on="f" joinstyle="miter"/>
            <v:imagedata r:id="rId129" o:title=""/>
            <o:lock v:ext="edit" aspectratio="t"/>
            <w10:wrap type="none"/>
            <w10:anchorlock/>
          </v:shape>
          <o:OLEObject Type="Embed" ProgID="Equation.KSEE3" ShapeID="_x0000_i1089" DrawAspect="Content" ObjectID="_1468075791" r:id="rId128">
            <o:LockedField>false</o:LockedField>
          </o:OLEObject>
        </w:object>
      </w:r>
      <w:r>
        <w:rPr>
          <w:rFonts w:hint="eastAsia" w:ascii="仿宋_GB2312" w:hAnsi="仿宋_GB2312" w:eastAsia="仿宋_GB2312" w:cs="仿宋_GB2312"/>
          <w:sz w:val="30"/>
          <w:szCs w:val="30"/>
        </w:rPr>
        <w:t>,</w:t>
      </w:r>
      <w:r>
        <w:rPr>
          <w:rFonts w:hint="eastAsia" w:ascii="仿宋_GB2312" w:eastAsia="仿宋_GB2312"/>
          <w:sz w:val="30"/>
          <w:szCs w:val="30"/>
          <w:lang w:val="pt-BR"/>
        </w:rPr>
        <w:t>其中</w:t>
      </w:r>
      <w:r>
        <w:rPr>
          <w:rFonts w:hint="eastAsia" w:ascii="仿宋_GB2312" w:hAnsi="仿宋_GB2312" w:eastAsia="仿宋_GB2312" w:cs="仿宋_GB2312"/>
          <w:position w:val="-4"/>
          <w:sz w:val="30"/>
          <w:szCs w:val="30"/>
        </w:rPr>
        <w:object>
          <v:shape id="_x0000_i1090" o:spt="75" type="#_x0000_t75" style="height:17.35pt;width:17.35pt;" o:ole="t" filled="f" o:preferrelative="t" stroked="f" coordsize="21600,21600">
            <v:path/>
            <v:fill on="f" focussize="0,0"/>
            <v:stroke on="f" joinstyle="miter"/>
            <v:imagedata r:id="rId38" o:title=""/>
            <o:lock v:ext="edit" aspectratio="t"/>
            <w10:wrap type="none"/>
            <w10:anchorlock/>
          </v:shape>
          <o:OLEObject Type="Embed" ProgID="Equation.KSEE3" ShapeID="_x0000_i1090" DrawAspect="Content" ObjectID="_1468075792" r:id="rId130">
            <o:LockedField>false</o:LockedField>
          </o:OLEObject>
        </w:object>
      </w:r>
      <w:r>
        <w:rPr>
          <w:rFonts w:hint="eastAsia" w:ascii="仿宋_GB2312" w:eastAsia="仿宋_GB2312"/>
          <w:sz w:val="30"/>
          <w:szCs w:val="30"/>
        </w:rPr>
        <w:t>为档次分离点</w:t>
      </w:r>
    </w:p>
    <w:p>
      <w:pPr>
        <w:spacing w:after="0" w:line="240" w:lineRule="auto"/>
        <w:ind w:firstLine="1500" w:firstLineChars="500"/>
        <w:jc w:val="center"/>
        <w:rPr>
          <w:rFonts w:ascii="仿宋_GB2312" w:eastAsia="仿宋_GB2312"/>
          <w:sz w:val="30"/>
          <w:szCs w:val="30"/>
          <w:lang w:val="pt-BR"/>
        </w:rPr>
      </w:pPr>
      <m:oMath>
        <m:r>
          <m:rPr/>
          <w:rPr>
            <w:rFonts w:hint="eastAsia" w:ascii="Cambria Math" w:hAnsi="Cambria Math" w:eastAsia="仿宋_GB2312"/>
            <w:sz w:val="30"/>
            <w:szCs w:val="30"/>
            <w:lang w:val="pt-BR"/>
          </w:rPr>
          <m:t>l=</m:t>
        </m:r>
        <m:r>
          <m:rPr/>
          <w:rPr>
            <w:rFonts w:ascii="Cambria Math" w:hAnsi="Cambria Math" w:eastAsia="仿宋_GB2312"/>
            <w:sz w:val="30"/>
            <w:szCs w:val="30"/>
            <w:lang w:val="pt-BR"/>
          </w:rPr>
          <m:t>max</m:t>
        </m:r>
        <m:r>
          <m:rPr>
            <m:sty m:val="p"/>
          </m:rPr>
          <w:rPr>
            <w:rFonts w:ascii="Cambria Math" w:hAnsi="Cambria Math" w:eastAsia="仿宋_GB2312"/>
            <w:sz w:val="30"/>
            <w:szCs w:val="30"/>
            <w:lang w:val="pt-BR"/>
          </w:rPr>
          <m:t>⁡</m:t>
        </m:r>
        <m:r>
          <m:rPr/>
          <w:rPr>
            <w:rFonts w:ascii="Cambria Math" w:hAnsi="Cambria Math" w:eastAsia="仿宋_GB2312"/>
            <w:sz w:val="30"/>
            <w:szCs w:val="30"/>
            <w:lang w:val="pt-BR"/>
          </w:rPr>
          <m:t>(A−</m:t>
        </m:r>
        <m:sSub>
          <m:sSubPr>
            <m:ctrlPr>
              <w:rPr>
                <w:rFonts w:ascii="Cambria Math" w:hAnsi="Cambria Math" w:eastAsia="仿宋_GB2312"/>
                <w:i/>
                <w:sz w:val="30"/>
                <w:szCs w:val="30"/>
                <w:lang w:val="pt-BR"/>
              </w:rPr>
            </m:ctrlPr>
          </m:sSubPr>
          <m:e>
            <m:r>
              <m:rPr/>
              <w:rPr>
                <w:rFonts w:ascii="Cambria Math" w:hAnsi="Cambria Math" w:eastAsia="仿宋_GB2312"/>
                <w:sz w:val="30"/>
                <w:szCs w:val="30"/>
                <w:lang w:val="pt-BR"/>
              </w:rPr>
              <m:t>K</m:t>
            </m:r>
            <m:ctrlPr>
              <w:rPr>
                <w:rFonts w:ascii="Cambria Math" w:hAnsi="Cambria Math" w:eastAsia="仿宋_GB2312"/>
                <w:i/>
                <w:sz w:val="30"/>
                <w:szCs w:val="30"/>
                <w:lang w:val="pt-BR"/>
              </w:rPr>
            </m:ctrlPr>
          </m:e>
          <m:sub>
            <m:r>
              <m:rPr/>
              <w:rPr>
                <w:rFonts w:ascii="Cambria Math" w:hAnsi="Cambria Math" w:eastAsia="仿宋_GB2312"/>
                <w:sz w:val="30"/>
                <w:szCs w:val="30"/>
                <w:lang w:val="pt-BR"/>
              </w:rPr>
              <m:t>IRB</m:t>
            </m:r>
            <m:ctrlPr>
              <w:rPr>
                <w:rFonts w:ascii="Cambria Math" w:hAnsi="Cambria Math" w:eastAsia="仿宋_GB2312"/>
                <w:i/>
                <w:sz w:val="30"/>
                <w:szCs w:val="30"/>
                <w:lang w:val="pt-BR"/>
              </w:rPr>
            </m:ctrlPr>
          </m:sub>
        </m:sSub>
        <m:r>
          <m:rPr/>
          <w:rPr>
            <w:rFonts w:ascii="Cambria Math" w:hAnsi="Cambria Math" w:eastAsia="仿宋_GB2312"/>
            <w:sz w:val="30"/>
            <w:szCs w:val="30"/>
            <w:lang w:val="pt-BR"/>
          </w:rPr>
          <m:t>,0)</m:t>
        </m:r>
      </m:oMath>
      <w:r>
        <w:rPr>
          <w:rFonts w:hint="eastAsia" w:ascii="仿宋_GB2312" w:eastAsia="仿宋_GB2312"/>
          <w:sz w:val="30"/>
          <w:szCs w:val="30"/>
          <w:lang w:val="pt-BR"/>
        </w:rPr>
        <w:t>，其中</w:t>
      </w:r>
      <w:r>
        <w:rPr>
          <w:rFonts w:hint="eastAsia" w:ascii="仿宋_GB2312" w:hAnsi="仿宋_GB2312" w:eastAsia="仿宋_GB2312" w:cs="仿宋_GB2312"/>
          <w:position w:val="-4"/>
          <w:sz w:val="30"/>
          <w:szCs w:val="30"/>
        </w:rPr>
        <w:object>
          <v:shape id="_x0000_i1091" o:spt="75" type="#_x0000_t75" style="height:18.65pt;width:18.65pt;" o:ole="t" filled="f" o:preferrelative="t" stroked="f" coordsize="21600,21600">
            <v:path/>
            <v:fill on="f" focussize="0,0"/>
            <v:stroke on="f" joinstyle="miter"/>
            <v:imagedata r:id="rId36" o:title=""/>
            <o:lock v:ext="edit" aspectratio="t"/>
            <w10:wrap type="none"/>
            <w10:anchorlock/>
          </v:shape>
          <o:OLEObject Type="Embed" ProgID="Equation.KSEE3" ShapeID="_x0000_i1091" DrawAspect="Content" ObjectID="_1468075793" r:id="rId131">
            <o:LockedField>false</o:LockedField>
          </o:OLEObject>
        </w:object>
      </w:r>
      <w:r>
        <w:rPr>
          <w:rFonts w:hint="eastAsia" w:ascii="仿宋_GB2312" w:eastAsia="仿宋_GB2312"/>
          <w:sz w:val="30"/>
          <w:szCs w:val="30"/>
          <w:lang w:val="pt-BR"/>
        </w:rPr>
        <w:t>为档次起始点</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（六）市场风险对冲工具（如汇率互换或利率互换）可使用与其偿付顺序相同的资产证券化档次所对应的风险权重。如果没有相同档次，则使用低一档次所对应的风险权重。</w:t>
      </w:r>
    </w:p>
    <w:p>
      <w:pPr>
        <w:pStyle w:val="3"/>
        <w:ind w:left="0" w:leftChars="0"/>
      </w:pPr>
      <w:r>
        <w:rPr>
          <w:rFonts w:hint="eastAsia"/>
        </w:rPr>
        <w:t>四、资产证券化外部评级法</w:t>
      </w:r>
    </w:p>
    <w:p>
      <w:pPr>
        <w:spacing w:after="0" w:line="480" w:lineRule="exact"/>
        <w:ind w:firstLine="600" w:firstLineChars="200"/>
        <w:jc w:val="both"/>
        <w:rPr>
          <w:rFonts w:ascii="仿宋_GB2312" w:eastAsia="仿宋_GB2312"/>
        </w:rPr>
      </w:pPr>
      <w:r>
        <w:rPr>
          <w:rFonts w:hint="eastAsia" w:ascii="仿宋_GB2312" w:eastAsia="仿宋_GB2312"/>
          <w:sz w:val="30"/>
          <w:szCs w:val="30"/>
        </w:rPr>
        <w:t>（一）对有短期评级、或未评级但有推测评级的风险暴露，可按</w:t>
      </w:r>
      <w:r>
        <w:rPr>
          <w:rFonts w:ascii="仿宋_GB2312" w:eastAsia="仿宋_GB2312"/>
          <w:sz w:val="30"/>
          <w:szCs w:val="30"/>
        </w:rPr>
        <w:t>表</w:t>
      </w:r>
      <w:r>
        <w:rPr>
          <w:rFonts w:hint="eastAsia" w:ascii="仿宋_GB2312" w:eastAsia="仿宋_GB2312"/>
          <w:sz w:val="30"/>
          <w:szCs w:val="30"/>
        </w:rPr>
        <w:t>2</w:t>
      </w:r>
      <w:r>
        <w:rPr>
          <w:rFonts w:ascii="仿宋_GB2312" w:eastAsia="仿宋_GB2312"/>
          <w:sz w:val="30"/>
          <w:szCs w:val="30"/>
        </w:rPr>
        <w:t>确定风险权重。</w:t>
      </w:r>
    </w:p>
    <w:p>
      <w:pPr>
        <w:widowControl w:val="0"/>
        <w:adjustRightInd w:val="0"/>
        <w:snapToGrid w:val="0"/>
        <w:spacing w:after="0" w:line="240" w:lineRule="auto"/>
        <w:jc w:val="center"/>
        <w:outlineLvl w:val="1"/>
        <w:rPr>
          <w:rFonts w:ascii="仿宋_GB2312" w:eastAsia="仿宋_GB2312"/>
          <w:sz w:val="30"/>
          <w:szCs w:val="30"/>
        </w:rPr>
      </w:pPr>
      <w:r>
        <w:rPr>
          <w:rFonts w:hint="eastAsia" w:ascii="楷体_GB2312" w:eastAsia="楷体_GB2312"/>
          <w:b/>
          <w:bCs/>
          <w:kern w:val="2"/>
          <w:sz w:val="28"/>
          <w:szCs w:val="28"/>
        </w:rPr>
        <w:t>表2</w:t>
      </w:r>
      <w:r>
        <w:rPr>
          <w:rFonts w:ascii="楷体_GB2312" w:eastAsia="楷体_GB2312"/>
          <w:b/>
          <w:bCs/>
          <w:kern w:val="2"/>
          <w:sz w:val="28"/>
          <w:szCs w:val="28"/>
        </w:rPr>
        <w:t xml:space="preserve"> </w:t>
      </w:r>
      <w:r>
        <w:rPr>
          <w:rFonts w:hint="eastAsia" w:ascii="楷体_GB2312" w:eastAsia="楷体_GB2312"/>
          <w:b/>
          <w:bCs/>
          <w:kern w:val="2"/>
          <w:sz w:val="28"/>
          <w:szCs w:val="28"/>
        </w:rPr>
        <w:t>短期评级风险权重表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736"/>
        <w:gridCol w:w="1735"/>
        <w:gridCol w:w="173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35" w:type="dxa"/>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外部信用评级</w:t>
            </w:r>
          </w:p>
        </w:tc>
        <w:tc>
          <w:tcPr>
            <w:tcW w:w="1736"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A–1/P–1</w:t>
            </w:r>
          </w:p>
        </w:tc>
        <w:tc>
          <w:tcPr>
            <w:tcW w:w="1735"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A–2/P–2</w:t>
            </w:r>
          </w:p>
        </w:tc>
        <w:tc>
          <w:tcPr>
            <w:tcW w:w="1735"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A–3/P–3</w:t>
            </w:r>
          </w:p>
        </w:tc>
        <w:tc>
          <w:tcPr>
            <w:tcW w:w="1787" w:type="dxa"/>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35" w:type="dxa"/>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风险权重</w:t>
            </w:r>
          </w:p>
        </w:tc>
        <w:tc>
          <w:tcPr>
            <w:tcW w:w="1736"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735"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50%</w:t>
            </w:r>
          </w:p>
        </w:tc>
        <w:tc>
          <w:tcPr>
            <w:tcW w:w="1735"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100%</w:t>
            </w:r>
          </w:p>
        </w:tc>
        <w:tc>
          <w:tcPr>
            <w:tcW w:w="1787"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r>
    </w:tbl>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如果符合“简单、透明、可比”标准，则按表3</w:t>
      </w:r>
      <w:r>
        <w:rPr>
          <w:rFonts w:ascii="仿宋_GB2312" w:eastAsia="仿宋_GB2312"/>
          <w:sz w:val="30"/>
          <w:szCs w:val="30"/>
        </w:rPr>
        <w:t>确定风险权重</w:t>
      </w:r>
      <w:r>
        <w:rPr>
          <w:rFonts w:hint="eastAsia" w:ascii="仿宋_GB2312" w:eastAsia="仿宋_GB2312"/>
          <w:sz w:val="30"/>
          <w:szCs w:val="30"/>
        </w:rPr>
        <w:t>。</w:t>
      </w:r>
    </w:p>
    <w:p>
      <w:pPr>
        <w:widowControl w:val="0"/>
        <w:adjustRightInd w:val="0"/>
        <w:snapToGrid w:val="0"/>
        <w:spacing w:after="0" w:line="240" w:lineRule="auto"/>
        <w:jc w:val="center"/>
        <w:outlineLvl w:val="1"/>
        <w:rPr>
          <w:rFonts w:ascii="楷体_GB2312" w:eastAsia="楷体_GB2312"/>
          <w:b/>
          <w:bCs/>
          <w:kern w:val="2"/>
          <w:sz w:val="28"/>
          <w:szCs w:val="28"/>
        </w:rPr>
      </w:pPr>
      <w:r>
        <w:rPr>
          <w:rFonts w:hint="eastAsia" w:ascii="楷体_GB2312" w:eastAsia="楷体_GB2312"/>
          <w:b/>
          <w:bCs/>
          <w:kern w:val="2"/>
          <w:sz w:val="28"/>
          <w:szCs w:val="28"/>
        </w:rPr>
        <w:t>表3</w:t>
      </w:r>
      <w:r>
        <w:rPr>
          <w:rFonts w:ascii="楷体_GB2312" w:eastAsia="楷体_GB2312"/>
          <w:b/>
          <w:bCs/>
          <w:kern w:val="2"/>
          <w:sz w:val="28"/>
          <w:szCs w:val="28"/>
        </w:rPr>
        <w:t xml:space="preserve"> </w:t>
      </w:r>
      <w:r>
        <w:rPr>
          <w:rFonts w:hint="eastAsia" w:ascii="楷体_GB2312" w:eastAsia="楷体_GB2312"/>
          <w:b/>
          <w:bCs/>
          <w:kern w:val="2"/>
          <w:sz w:val="28"/>
          <w:szCs w:val="28"/>
        </w:rPr>
        <w:t>符合“简单、透明、可比”标准的短期评级风险权重表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37"/>
        <w:gridCol w:w="1737"/>
        <w:gridCol w:w="173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058" w:type="dxa"/>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外部信用评级</w:t>
            </w:r>
          </w:p>
        </w:tc>
        <w:tc>
          <w:tcPr>
            <w:tcW w:w="1737"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A–1/P–1</w:t>
            </w:r>
          </w:p>
        </w:tc>
        <w:tc>
          <w:tcPr>
            <w:tcW w:w="1737"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A–2/P–2</w:t>
            </w:r>
          </w:p>
        </w:tc>
        <w:tc>
          <w:tcPr>
            <w:tcW w:w="1737"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A–3/P–3</w:t>
            </w:r>
          </w:p>
        </w:tc>
        <w:tc>
          <w:tcPr>
            <w:tcW w:w="1702" w:type="dxa"/>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其他评级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058" w:type="dxa"/>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风险权重</w:t>
            </w:r>
          </w:p>
        </w:tc>
        <w:tc>
          <w:tcPr>
            <w:tcW w:w="1737"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1737"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1737"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60%</w:t>
            </w:r>
          </w:p>
        </w:tc>
        <w:tc>
          <w:tcPr>
            <w:tcW w:w="1702" w:type="dxa"/>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r>
    </w:tbl>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二）对有长期评级、或未评级但有推测评级的资产证券化风险暴露，风险权重取决于外部评级或推测评级、档次优先级、档次剩余期限。对非优先档次，风险权重还应进行档次厚度调整。基础权重按照表4确定。档次剩余期限按照本附件第三部分第（四）条的规定计算。</w:t>
      </w:r>
    </w:p>
    <w:p>
      <w:pPr>
        <w:widowControl w:val="0"/>
        <w:adjustRightInd w:val="0"/>
        <w:snapToGrid w:val="0"/>
        <w:spacing w:after="0" w:line="240" w:lineRule="auto"/>
        <w:jc w:val="center"/>
        <w:outlineLvl w:val="1"/>
        <w:rPr>
          <w:rFonts w:ascii="楷体_GB2312" w:eastAsia="楷体_GB2312"/>
          <w:b/>
          <w:bCs/>
          <w:kern w:val="2"/>
          <w:sz w:val="28"/>
          <w:szCs w:val="28"/>
        </w:rPr>
      </w:pPr>
      <w:r>
        <w:rPr>
          <w:rFonts w:hint="eastAsia" w:ascii="楷体_GB2312" w:eastAsia="楷体_GB2312"/>
          <w:b/>
          <w:bCs/>
          <w:kern w:val="2"/>
          <w:sz w:val="28"/>
          <w:szCs w:val="28"/>
        </w:rPr>
        <w:t>表4</w:t>
      </w:r>
      <w:r>
        <w:rPr>
          <w:rFonts w:ascii="楷体_GB2312" w:eastAsia="楷体_GB2312"/>
          <w:b/>
          <w:bCs/>
          <w:kern w:val="2"/>
          <w:sz w:val="28"/>
          <w:szCs w:val="28"/>
        </w:rPr>
        <w:t xml:space="preserve"> </w:t>
      </w:r>
      <w:r>
        <w:rPr>
          <w:rFonts w:hint="eastAsia" w:ascii="楷体_GB2312" w:eastAsia="楷体_GB2312"/>
          <w:b/>
          <w:bCs/>
          <w:kern w:val="2"/>
          <w:sz w:val="28"/>
          <w:szCs w:val="28"/>
        </w:rPr>
        <w:t>长期评级基础风险权重表</w:t>
      </w:r>
    </w:p>
    <w:tbl>
      <w:tblPr>
        <w:tblStyle w:val="20"/>
        <w:tblW w:w="0" w:type="auto"/>
        <w:jc w:val="center"/>
        <w:tblLayout w:type="fixed"/>
        <w:tblCellMar>
          <w:top w:w="82" w:type="dxa"/>
          <w:left w:w="115" w:type="dxa"/>
          <w:bottom w:w="0" w:type="dxa"/>
          <w:right w:w="115" w:type="dxa"/>
        </w:tblCellMar>
      </w:tblPr>
      <w:tblGrid>
        <w:gridCol w:w="2645"/>
        <w:gridCol w:w="1473"/>
        <w:gridCol w:w="1473"/>
        <w:gridCol w:w="1473"/>
        <w:gridCol w:w="1472"/>
      </w:tblGrid>
      <w:tr>
        <w:tblPrEx>
          <w:tblCellMar>
            <w:top w:w="82" w:type="dxa"/>
            <w:left w:w="115" w:type="dxa"/>
            <w:bottom w:w="0" w:type="dxa"/>
            <w:right w:w="115" w:type="dxa"/>
          </w:tblCellMar>
        </w:tblPrEx>
        <w:trPr>
          <w:jc w:val="center"/>
        </w:trPr>
        <w:tc>
          <w:tcPr>
            <w:tcW w:w="2645" w:type="dxa"/>
            <w:vMerge w:val="restart"/>
            <w:tcBorders>
              <w:top w:val="single" w:color="000000" w:sz="4" w:space="0"/>
              <w:left w:val="nil"/>
              <w:bottom w:val="single" w:color="000000" w:sz="12"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评级</w:t>
            </w:r>
          </w:p>
        </w:tc>
        <w:tc>
          <w:tcPr>
            <w:tcW w:w="2946"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优先档次</w:t>
            </w:r>
          </w:p>
        </w:tc>
        <w:tc>
          <w:tcPr>
            <w:tcW w:w="2945" w:type="dxa"/>
            <w:gridSpan w:val="2"/>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非优先档次</w:t>
            </w:r>
          </w:p>
        </w:tc>
      </w:tr>
      <w:tr>
        <w:tblPrEx>
          <w:tblCellMar>
            <w:top w:w="82" w:type="dxa"/>
            <w:left w:w="115" w:type="dxa"/>
            <w:bottom w:w="0" w:type="dxa"/>
            <w:right w:w="115" w:type="dxa"/>
          </w:tblCellMar>
        </w:tblPrEx>
        <w:trPr>
          <w:jc w:val="center"/>
        </w:trPr>
        <w:tc>
          <w:tcPr>
            <w:tcW w:w="2645" w:type="dxa"/>
            <w:vMerge w:val="continue"/>
            <w:tcBorders>
              <w:top w:val="nil"/>
              <w:left w:val="nil"/>
              <w:bottom w:val="nil"/>
              <w:right w:val="single" w:color="000000" w:sz="4" w:space="0"/>
            </w:tcBorders>
            <w:vAlign w:val="center"/>
          </w:tcPr>
          <w:p>
            <w:pPr>
              <w:spacing w:after="0" w:line="240" w:lineRule="auto"/>
              <w:jc w:val="center"/>
              <w:rPr>
                <w:rFonts w:asciiTheme="minorEastAsia" w:hAnsiTheme="minorEastAsia" w:eastAsiaTheme="minorEastAsia"/>
                <w:sz w:val="24"/>
                <w:szCs w:val="24"/>
              </w:rPr>
            </w:pPr>
          </w:p>
        </w:tc>
        <w:tc>
          <w:tcPr>
            <w:tcW w:w="2946"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档次剩余期限</w:t>
            </w:r>
            <w:r>
              <w:rPr>
                <w:rFonts w:asciiTheme="minorEastAsia" w:hAnsiTheme="minorEastAsia" w:eastAsiaTheme="minorEastAsia"/>
                <w:sz w:val="24"/>
                <w:szCs w:val="24"/>
              </w:rPr>
              <w:t xml:space="preserve"> (</w:t>
            </w:r>
            <w:r>
              <w:rPr>
                <w:rFonts w:asciiTheme="minorEastAsia" w:hAnsiTheme="minorEastAsia" w:eastAsiaTheme="minorEastAsia"/>
                <w:sz w:val="24"/>
                <w:szCs w:val="24"/>
              </w:rPr>
              <w:drawing>
                <wp:inline distT="0" distB="0" distL="0" distR="0">
                  <wp:extent cx="252730" cy="208915"/>
                  <wp:effectExtent l="0" t="0" r="0" b="0"/>
                  <wp:docPr id="8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52730" cy="208915"/>
                          </a:xfrm>
                          <a:prstGeom prst="rect">
                            <a:avLst/>
                          </a:prstGeom>
                          <a:noFill/>
                          <a:ln>
                            <a:noFill/>
                          </a:ln>
                        </pic:spPr>
                      </pic:pic>
                    </a:graphicData>
                  </a:graphic>
                </wp:inline>
              </w:drawing>
            </w:r>
            <w:r>
              <w:rPr>
                <w:rFonts w:hint="eastAsia" w:asciiTheme="minorEastAsia" w:hAnsiTheme="minorEastAsia" w:eastAsiaTheme="minorEastAsia"/>
                <w:sz w:val="24"/>
                <w:szCs w:val="24"/>
              </w:rPr>
              <w:t>）</w:t>
            </w:r>
          </w:p>
        </w:tc>
        <w:tc>
          <w:tcPr>
            <w:tcW w:w="2945" w:type="dxa"/>
            <w:gridSpan w:val="2"/>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档次剩余期限</w:t>
            </w:r>
            <w:r>
              <w:rPr>
                <w:rFonts w:asciiTheme="minorEastAsia" w:hAnsiTheme="minorEastAsia" w:eastAsiaTheme="minorEastAsia"/>
                <w:sz w:val="24"/>
                <w:szCs w:val="24"/>
              </w:rPr>
              <w:t xml:space="preserve"> (</w:t>
            </w:r>
            <w:r>
              <w:rPr>
                <w:rFonts w:asciiTheme="minorEastAsia" w:hAnsiTheme="minorEastAsia" w:eastAsiaTheme="minorEastAsia"/>
                <w:sz w:val="24"/>
                <w:szCs w:val="24"/>
              </w:rPr>
              <w:drawing>
                <wp:inline distT="0" distB="0" distL="0" distR="0">
                  <wp:extent cx="252730" cy="208915"/>
                  <wp:effectExtent l="0" t="0" r="0" b="0"/>
                  <wp:docPr id="8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52730" cy="208915"/>
                          </a:xfrm>
                          <a:prstGeom prst="rect">
                            <a:avLst/>
                          </a:prstGeom>
                          <a:noFill/>
                          <a:ln>
                            <a:noFill/>
                          </a:ln>
                        </pic:spPr>
                      </pic:pic>
                    </a:graphicData>
                  </a:graphic>
                </wp:inline>
              </w:drawing>
            </w:r>
            <w:r>
              <w:rPr>
                <w:rFonts w:hint="eastAsia" w:asciiTheme="minorEastAsia" w:hAnsiTheme="minorEastAsia" w:eastAsiaTheme="minorEastAsia"/>
                <w:sz w:val="24"/>
                <w:szCs w:val="24"/>
              </w:rPr>
              <w:t>）</w:t>
            </w:r>
          </w:p>
        </w:tc>
      </w:tr>
      <w:tr>
        <w:tblPrEx>
          <w:tblCellMar>
            <w:top w:w="82" w:type="dxa"/>
            <w:left w:w="115" w:type="dxa"/>
            <w:bottom w:w="0" w:type="dxa"/>
            <w:right w:w="115" w:type="dxa"/>
          </w:tblCellMar>
        </w:tblPrEx>
        <w:trPr>
          <w:jc w:val="center"/>
        </w:trPr>
        <w:tc>
          <w:tcPr>
            <w:tcW w:w="2645" w:type="dxa"/>
            <w:vMerge w:val="continue"/>
            <w:tcBorders>
              <w:top w:val="nil"/>
              <w:left w:val="nil"/>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p>
        </w:tc>
        <w:tc>
          <w:tcPr>
            <w:tcW w:w="1473"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年</w:t>
            </w:r>
          </w:p>
        </w:tc>
        <w:tc>
          <w:tcPr>
            <w:tcW w:w="1473"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年</w:t>
            </w:r>
          </w:p>
        </w:tc>
        <w:tc>
          <w:tcPr>
            <w:tcW w:w="1473"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1 </w:t>
            </w:r>
            <w:r>
              <w:rPr>
                <w:rFonts w:hint="eastAsia" w:asciiTheme="minorEastAsia" w:hAnsiTheme="minorEastAsia" w:eastAsiaTheme="minorEastAsia"/>
                <w:sz w:val="24"/>
                <w:szCs w:val="24"/>
              </w:rPr>
              <w:t>年</w:t>
            </w:r>
          </w:p>
        </w:tc>
        <w:tc>
          <w:tcPr>
            <w:tcW w:w="1472" w:type="dxa"/>
            <w:tcBorders>
              <w:top w:val="single" w:color="000000" w:sz="4" w:space="0"/>
              <w:left w:val="single" w:color="000000" w:sz="4" w:space="0"/>
              <w:bottom w:val="single" w:color="auto"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5 </w:t>
            </w:r>
            <w:r>
              <w:rPr>
                <w:rFonts w:hint="eastAsia" w:asciiTheme="minorEastAsia" w:hAnsiTheme="minorEastAsia" w:eastAsiaTheme="minorEastAsia"/>
                <w:sz w:val="24"/>
                <w:szCs w:val="24"/>
              </w:rPr>
              <w:t>年</w:t>
            </w:r>
          </w:p>
        </w:tc>
      </w:tr>
      <w:tr>
        <w:trPr>
          <w:jc w:val="center"/>
        </w:trPr>
        <w:tc>
          <w:tcPr>
            <w:tcW w:w="2645" w:type="dxa"/>
            <w:tcBorders>
              <w:top w:val="single" w:color="auto"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AAA</w:t>
            </w:r>
          </w:p>
        </w:tc>
        <w:tc>
          <w:tcPr>
            <w:tcW w:w="1473"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473"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1473"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472" w:type="dxa"/>
            <w:tcBorders>
              <w:top w:val="single" w:color="auto"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140%</w:t>
            </w:r>
          </w:p>
        </w:tc>
      </w:tr>
      <w:tr>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160%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80%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180%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210%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170%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260%</w:t>
            </w:r>
          </w:p>
        </w:tc>
      </w:tr>
      <w:tr>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220%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310%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140%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330%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420%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140%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160%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470%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580%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160%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180%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620%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760%</w:t>
            </w:r>
          </w:p>
        </w:tc>
      </w:tr>
      <w:tr>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200%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225%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750%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860%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250%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280%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900%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950%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310%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340%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1050%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1050%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380%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420%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1130%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1130%</w:t>
            </w:r>
          </w:p>
        </w:tc>
      </w:tr>
      <w:tr>
        <w:trPr>
          <w:jc w:val="center"/>
        </w:trPr>
        <w:tc>
          <w:tcPr>
            <w:tcW w:w="2645"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CCC+/CCC/CCC–</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460%</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505%</w:t>
            </w:r>
          </w:p>
        </w:tc>
        <w:tc>
          <w:tcPr>
            <w:tcW w:w="147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472"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r>
      <w:tr>
        <w:tblPrEx>
          <w:tblCellMar>
            <w:top w:w="82" w:type="dxa"/>
            <w:left w:w="115" w:type="dxa"/>
            <w:bottom w:w="0" w:type="dxa"/>
            <w:right w:w="115" w:type="dxa"/>
          </w:tblCellMar>
        </w:tblPrEx>
        <w:trPr>
          <w:jc w:val="center"/>
        </w:trPr>
        <w:tc>
          <w:tcPr>
            <w:tcW w:w="2645" w:type="dxa"/>
            <w:tcBorders>
              <w:top w:val="single" w:color="000000" w:sz="4" w:space="0"/>
              <w:left w:val="nil"/>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CCC–</w:t>
            </w:r>
            <w:r>
              <w:rPr>
                <w:rFonts w:hint="eastAsia" w:asciiTheme="minorEastAsia" w:hAnsiTheme="minorEastAsia" w:eastAsiaTheme="minorEastAsia"/>
                <w:sz w:val="24"/>
                <w:szCs w:val="24"/>
              </w:rPr>
              <w:t>以下</w:t>
            </w:r>
          </w:p>
        </w:tc>
        <w:tc>
          <w:tcPr>
            <w:tcW w:w="1473"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473"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473"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472" w:type="dxa"/>
            <w:tcBorders>
              <w:top w:val="single" w:color="000000" w:sz="4" w:space="0"/>
              <w:left w:val="single" w:color="000000" w:sz="4" w:space="0"/>
              <w:bottom w:val="single" w:color="auto"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r>
    </w:tbl>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如果符合“简单、透明、可比”标准，</w:t>
      </w:r>
      <w:r>
        <w:rPr>
          <w:rFonts w:ascii="仿宋_GB2312" w:eastAsia="仿宋_GB2312"/>
          <w:sz w:val="30"/>
          <w:szCs w:val="30"/>
        </w:rPr>
        <w:t>则按表</w:t>
      </w:r>
      <w:r>
        <w:rPr>
          <w:rFonts w:hint="eastAsia" w:ascii="仿宋_GB2312" w:eastAsia="仿宋_GB2312"/>
          <w:sz w:val="30"/>
          <w:szCs w:val="30"/>
        </w:rPr>
        <w:t>5</w:t>
      </w:r>
      <w:r>
        <w:rPr>
          <w:rFonts w:ascii="仿宋_GB2312" w:eastAsia="仿宋_GB2312"/>
          <w:sz w:val="30"/>
          <w:szCs w:val="30"/>
        </w:rPr>
        <w:t>确定</w:t>
      </w:r>
      <w:r>
        <w:rPr>
          <w:rFonts w:hint="eastAsia" w:ascii="仿宋_GB2312" w:eastAsia="仿宋_GB2312"/>
          <w:sz w:val="30"/>
          <w:szCs w:val="30"/>
        </w:rPr>
        <w:t>基础</w:t>
      </w:r>
      <w:r>
        <w:rPr>
          <w:rFonts w:ascii="仿宋_GB2312" w:eastAsia="仿宋_GB2312"/>
          <w:sz w:val="30"/>
          <w:szCs w:val="30"/>
        </w:rPr>
        <w:t>风险权重。</w:t>
      </w:r>
    </w:p>
    <w:p>
      <w:pPr>
        <w:widowControl w:val="0"/>
        <w:adjustRightInd w:val="0"/>
        <w:snapToGrid w:val="0"/>
        <w:spacing w:after="0" w:line="240" w:lineRule="auto"/>
        <w:jc w:val="center"/>
        <w:outlineLvl w:val="1"/>
        <w:rPr>
          <w:rFonts w:ascii="楷体_GB2312" w:eastAsia="楷体_GB2312"/>
          <w:b/>
          <w:bCs/>
          <w:kern w:val="2"/>
          <w:sz w:val="28"/>
          <w:szCs w:val="28"/>
        </w:rPr>
      </w:pPr>
      <w:r>
        <w:rPr>
          <w:rFonts w:hint="eastAsia" w:ascii="楷体_GB2312" w:eastAsia="楷体_GB2312"/>
          <w:b/>
          <w:bCs/>
          <w:kern w:val="2"/>
          <w:sz w:val="28"/>
          <w:szCs w:val="28"/>
        </w:rPr>
        <w:t>表5</w:t>
      </w:r>
      <w:r>
        <w:rPr>
          <w:rFonts w:ascii="楷体_GB2312" w:eastAsia="楷体_GB2312"/>
          <w:b/>
          <w:bCs/>
          <w:kern w:val="2"/>
          <w:sz w:val="28"/>
          <w:szCs w:val="28"/>
        </w:rPr>
        <w:t xml:space="preserve"> </w:t>
      </w:r>
      <w:r>
        <w:rPr>
          <w:rFonts w:hint="eastAsia" w:ascii="楷体_GB2312" w:eastAsia="楷体_GB2312"/>
          <w:b/>
          <w:bCs/>
          <w:kern w:val="2"/>
          <w:sz w:val="28"/>
          <w:szCs w:val="28"/>
        </w:rPr>
        <w:t>符合</w:t>
      </w:r>
      <w:r>
        <w:rPr>
          <w:rFonts w:ascii="楷体_GB2312" w:eastAsia="楷体_GB2312"/>
          <w:b/>
          <w:bCs/>
          <w:kern w:val="2"/>
          <w:sz w:val="28"/>
          <w:szCs w:val="28"/>
        </w:rPr>
        <w:t>“</w:t>
      </w:r>
      <w:r>
        <w:rPr>
          <w:rFonts w:hint="eastAsia" w:ascii="楷体_GB2312" w:eastAsia="楷体_GB2312"/>
          <w:b/>
          <w:bCs/>
          <w:kern w:val="2"/>
          <w:sz w:val="28"/>
          <w:szCs w:val="28"/>
        </w:rPr>
        <w:t>简单、透明、可比</w:t>
      </w:r>
      <w:r>
        <w:rPr>
          <w:rFonts w:ascii="楷体_GB2312" w:eastAsia="楷体_GB2312"/>
          <w:b/>
          <w:bCs/>
          <w:kern w:val="2"/>
          <w:sz w:val="28"/>
          <w:szCs w:val="28"/>
        </w:rPr>
        <w:t>”</w:t>
      </w:r>
      <w:r>
        <w:rPr>
          <w:rFonts w:hint="eastAsia" w:ascii="楷体_GB2312" w:eastAsia="楷体_GB2312"/>
          <w:b/>
          <w:bCs/>
          <w:kern w:val="2"/>
          <w:sz w:val="28"/>
          <w:szCs w:val="28"/>
        </w:rPr>
        <w:t>标准的长期评级基础风险权重表</w:t>
      </w:r>
    </w:p>
    <w:tbl>
      <w:tblPr>
        <w:tblStyle w:val="20"/>
        <w:tblW w:w="0" w:type="auto"/>
        <w:jc w:val="center"/>
        <w:tblLayout w:type="fixed"/>
        <w:tblCellMar>
          <w:top w:w="74" w:type="dxa"/>
          <w:left w:w="115" w:type="dxa"/>
          <w:bottom w:w="0" w:type="dxa"/>
          <w:right w:w="115" w:type="dxa"/>
        </w:tblCellMar>
      </w:tblPr>
      <w:tblGrid>
        <w:gridCol w:w="2180"/>
        <w:gridCol w:w="1696"/>
        <w:gridCol w:w="1418"/>
        <w:gridCol w:w="1555"/>
        <w:gridCol w:w="1687"/>
      </w:tblGrid>
      <w:tr>
        <w:tblPrEx>
          <w:tblCellMar>
            <w:top w:w="74" w:type="dxa"/>
            <w:left w:w="115" w:type="dxa"/>
            <w:bottom w:w="0" w:type="dxa"/>
            <w:right w:w="115" w:type="dxa"/>
          </w:tblCellMar>
        </w:tblPrEx>
        <w:trPr>
          <w:trHeight w:val="276" w:hRule="atLeast"/>
          <w:tblHeader/>
          <w:jc w:val="center"/>
        </w:trPr>
        <w:tc>
          <w:tcPr>
            <w:tcW w:w="2180" w:type="dxa"/>
            <w:vMerge w:val="restart"/>
            <w:tcBorders>
              <w:top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评级</w:t>
            </w:r>
          </w:p>
        </w:tc>
        <w:tc>
          <w:tcPr>
            <w:tcW w:w="311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优先档次</w:t>
            </w:r>
          </w:p>
        </w:tc>
        <w:tc>
          <w:tcPr>
            <w:tcW w:w="3242" w:type="dxa"/>
            <w:gridSpan w:val="2"/>
            <w:tcBorders>
              <w:top w:val="single" w:color="auto" w:sz="4" w:space="0"/>
              <w:left w:val="single" w:color="auto" w:sz="4" w:space="0"/>
              <w:bottom w:val="single" w:color="auto"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非优先档次</w:t>
            </w:r>
          </w:p>
        </w:tc>
      </w:tr>
      <w:tr>
        <w:tblPrEx>
          <w:tblCellMar>
            <w:top w:w="74" w:type="dxa"/>
            <w:left w:w="115" w:type="dxa"/>
            <w:bottom w:w="0" w:type="dxa"/>
            <w:right w:w="115" w:type="dxa"/>
          </w:tblCellMar>
        </w:tblPrEx>
        <w:trPr>
          <w:trHeight w:val="278" w:hRule="atLeast"/>
          <w:tblHeader/>
          <w:jc w:val="center"/>
        </w:trPr>
        <w:tc>
          <w:tcPr>
            <w:tcW w:w="2180" w:type="dxa"/>
            <w:vMerge w:val="continue"/>
            <w:tcBorders>
              <w:top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p>
        </w:tc>
        <w:tc>
          <w:tcPr>
            <w:tcW w:w="311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档次剩余期限</w:t>
            </w:r>
            <w:r>
              <w:rPr>
                <w:rFonts w:asciiTheme="minorEastAsia" w:hAnsiTheme="minorEastAsia" w:eastAsiaTheme="minorEastAsia"/>
                <w:sz w:val="24"/>
                <w:szCs w:val="24"/>
              </w:rPr>
              <w:t xml:space="preserve"> (</w:t>
            </w:r>
            <w:r>
              <w:rPr>
                <w:rFonts w:asciiTheme="minorEastAsia" w:hAnsiTheme="minorEastAsia" w:eastAsiaTheme="minorEastAsia"/>
                <w:sz w:val="24"/>
                <w:szCs w:val="24"/>
              </w:rPr>
              <w:drawing>
                <wp:inline distT="0" distB="0" distL="0" distR="0">
                  <wp:extent cx="252730" cy="208915"/>
                  <wp:effectExtent l="0" t="0" r="0" b="0"/>
                  <wp:docPr id="8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52730" cy="208915"/>
                          </a:xfrm>
                          <a:prstGeom prst="rect">
                            <a:avLst/>
                          </a:prstGeom>
                          <a:noFill/>
                          <a:ln>
                            <a:noFill/>
                          </a:ln>
                        </pic:spPr>
                      </pic:pic>
                    </a:graphicData>
                  </a:graphic>
                </wp:inline>
              </w:drawing>
            </w:r>
            <w:r>
              <w:rPr>
                <w:rFonts w:hint="eastAsia" w:asciiTheme="minorEastAsia" w:hAnsiTheme="minorEastAsia" w:eastAsiaTheme="minorEastAsia"/>
                <w:sz w:val="24"/>
                <w:szCs w:val="24"/>
              </w:rPr>
              <w:t>）</w:t>
            </w:r>
          </w:p>
        </w:tc>
        <w:tc>
          <w:tcPr>
            <w:tcW w:w="3242" w:type="dxa"/>
            <w:gridSpan w:val="2"/>
            <w:tcBorders>
              <w:top w:val="single" w:color="auto" w:sz="4" w:space="0"/>
              <w:left w:val="single" w:color="auto" w:sz="4" w:space="0"/>
              <w:bottom w:val="single" w:color="auto" w:sz="4" w:space="0"/>
            </w:tcBorders>
            <w:vAlign w:val="center"/>
          </w:tcPr>
          <w:p>
            <w:pPr>
              <w:spacing w:after="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档次剩余期限</w:t>
            </w:r>
            <w:r>
              <w:rPr>
                <w:rFonts w:asciiTheme="minorEastAsia" w:hAnsiTheme="minorEastAsia" w:eastAsiaTheme="minorEastAsia"/>
                <w:sz w:val="24"/>
                <w:szCs w:val="24"/>
              </w:rPr>
              <w:t xml:space="preserve"> (</w:t>
            </w:r>
            <w:r>
              <w:rPr>
                <w:rFonts w:asciiTheme="minorEastAsia" w:hAnsiTheme="minorEastAsia" w:eastAsiaTheme="minorEastAsia"/>
                <w:sz w:val="24"/>
                <w:szCs w:val="24"/>
              </w:rPr>
              <w:drawing>
                <wp:inline distT="0" distB="0" distL="0" distR="0">
                  <wp:extent cx="252730" cy="208915"/>
                  <wp:effectExtent l="0" t="0" r="0" b="0"/>
                  <wp:docPr id="8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252730" cy="208915"/>
                          </a:xfrm>
                          <a:prstGeom prst="rect">
                            <a:avLst/>
                          </a:prstGeom>
                          <a:noFill/>
                          <a:ln>
                            <a:noFill/>
                          </a:ln>
                        </pic:spPr>
                      </pic:pic>
                    </a:graphicData>
                  </a:graphic>
                </wp:inline>
              </w:drawing>
            </w:r>
            <w:r>
              <w:rPr>
                <w:rFonts w:hint="eastAsia" w:asciiTheme="minorEastAsia" w:hAnsiTheme="minorEastAsia" w:eastAsiaTheme="minorEastAsia"/>
                <w:sz w:val="24"/>
                <w:szCs w:val="24"/>
              </w:rPr>
              <w:t>）</w:t>
            </w:r>
          </w:p>
        </w:tc>
      </w:tr>
      <w:tr>
        <w:tblPrEx>
          <w:tblCellMar>
            <w:top w:w="74" w:type="dxa"/>
            <w:left w:w="115" w:type="dxa"/>
            <w:bottom w:w="0" w:type="dxa"/>
            <w:right w:w="115" w:type="dxa"/>
          </w:tblCellMar>
        </w:tblPrEx>
        <w:trPr>
          <w:trHeight w:val="295" w:hRule="atLeast"/>
          <w:tblHeader/>
          <w:jc w:val="center"/>
        </w:trPr>
        <w:tc>
          <w:tcPr>
            <w:tcW w:w="2180" w:type="dxa"/>
            <w:vMerge w:val="continue"/>
            <w:tcBorders>
              <w:top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年</w:t>
            </w:r>
          </w:p>
        </w:tc>
        <w:tc>
          <w:tcPr>
            <w:tcW w:w="14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年</w:t>
            </w:r>
          </w:p>
        </w:tc>
        <w:tc>
          <w:tcPr>
            <w:tcW w:w="155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年</w:t>
            </w:r>
          </w:p>
        </w:tc>
        <w:tc>
          <w:tcPr>
            <w:tcW w:w="1687" w:type="dxa"/>
            <w:tcBorders>
              <w:top w:val="single" w:color="auto" w:sz="4" w:space="0"/>
              <w:left w:val="single" w:color="auto" w:sz="4" w:space="0"/>
              <w:bottom w:val="single" w:color="auto"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年</w:t>
            </w:r>
          </w:p>
        </w:tc>
      </w:tr>
      <w:tr>
        <w:tblPrEx>
          <w:tblCellMar>
            <w:top w:w="74" w:type="dxa"/>
            <w:left w:w="115" w:type="dxa"/>
            <w:bottom w:w="0" w:type="dxa"/>
            <w:right w:w="115" w:type="dxa"/>
          </w:tblCellMar>
        </w:tblPrEx>
        <w:trPr>
          <w:trHeight w:val="276" w:hRule="atLeast"/>
          <w:jc w:val="center"/>
        </w:trPr>
        <w:tc>
          <w:tcPr>
            <w:tcW w:w="2180" w:type="dxa"/>
            <w:tcBorders>
              <w:top w:val="single" w:color="auto"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AAA</w:t>
            </w:r>
          </w:p>
        </w:tc>
        <w:tc>
          <w:tcPr>
            <w:tcW w:w="1696"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1418"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1555"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687" w:type="dxa"/>
            <w:tcBorders>
              <w:top w:val="single" w:color="auto"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70%</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AA–</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80%</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60%</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135%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A–</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40%</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170%</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150%</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225%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180%</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255%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85%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270%</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345%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135%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405%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500%</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135%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155%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535%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655%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170%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195%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645%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740%</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225%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250%</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810%</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855%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280%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305%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945%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945%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B–</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340%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380%</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1015%</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1015%</w:t>
            </w:r>
          </w:p>
        </w:tc>
      </w:tr>
      <w:tr>
        <w:tblPrEx>
          <w:tblCellMar>
            <w:top w:w="74" w:type="dxa"/>
            <w:left w:w="115" w:type="dxa"/>
            <w:bottom w:w="0" w:type="dxa"/>
            <w:right w:w="115" w:type="dxa"/>
          </w:tblCellMar>
        </w:tblPrEx>
        <w:trPr>
          <w:trHeight w:val="276"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CCC+/CCC/CCC–</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415%</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455%</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r>
      <w:tr>
        <w:tblPrEx>
          <w:tblCellMar>
            <w:top w:w="74" w:type="dxa"/>
            <w:left w:w="115" w:type="dxa"/>
            <w:bottom w:w="0" w:type="dxa"/>
            <w:right w:w="115" w:type="dxa"/>
          </w:tblCellMar>
        </w:tblPrEx>
        <w:trPr>
          <w:trHeight w:val="278" w:hRule="atLeast"/>
          <w:jc w:val="center"/>
        </w:trPr>
        <w:tc>
          <w:tcPr>
            <w:tcW w:w="2180" w:type="dxa"/>
            <w:tcBorders>
              <w:top w:val="single" w:color="000000" w:sz="4" w:space="0"/>
              <w:left w:val="nil"/>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CCC–</w:t>
            </w:r>
            <w:r>
              <w:rPr>
                <w:rFonts w:hint="eastAsia" w:asciiTheme="minorEastAsia" w:hAnsiTheme="minorEastAsia" w:eastAsiaTheme="minorEastAsia"/>
                <w:sz w:val="24"/>
                <w:szCs w:val="24"/>
              </w:rPr>
              <w:t>以下</w:t>
            </w:r>
          </w:p>
        </w:tc>
        <w:tc>
          <w:tcPr>
            <w:tcW w:w="1696"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55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c>
          <w:tcPr>
            <w:tcW w:w="1687" w:type="dxa"/>
            <w:tcBorders>
              <w:top w:val="single" w:color="000000" w:sz="4" w:space="0"/>
              <w:left w:val="single" w:color="000000" w:sz="4" w:space="0"/>
              <w:bottom w:val="single" w:color="000000" w:sz="4" w:space="0"/>
              <w:right w:val="nil"/>
            </w:tcBorders>
            <w:vAlign w:val="center"/>
          </w:tcPr>
          <w:p>
            <w:pPr>
              <w:spacing w:after="0"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1250%</w:t>
            </w:r>
          </w:p>
        </w:tc>
      </w:tr>
    </w:tbl>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对表4</w:t>
      </w:r>
      <w:r>
        <w:rPr>
          <w:rFonts w:ascii="仿宋_GB2312" w:eastAsia="仿宋_GB2312"/>
          <w:sz w:val="30"/>
          <w:szCs w:val="30"/>
        </w:rPr>
        <w:t>和表</w:t>
      </w:r>
      <w:r>
        <w:rPr>
          <w:rFonts w:hint="eastAsia" w:ascii="仿宋_GB2312" w:eastAsia="仿宋_GB2312"/>
          <w:sz w:val="30"/>
          <w:szCs w:val="30"/>
        </w:rPr>
        <w:t>5确定的基础风险权重需进行以下调整：</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）对档次剩余</w:t>
      </w:r>
      <w:r>
        <w:rPr>
          <w:rFonts w:ascii="仿宋_GB2312" w:eastAsia="仿宋_GB2312"/>
          <w:sz w:val="30"/>
          <w:szCs w:val="30"/>
        </w:rPr>
        <w:t>期限在1-5</w:t>
      </w:r>
      <w:r>
        <w:rPr>
          <w:rFonts w:hint="eastAsia" w:ascii="仿宋_GB2312" w:eastAsia="仿宋_GB2312"/>
          <w:sz w:val="30"/>
          <w:szCs w:val="30"/>
        </w:rPr>
        <w:t>年之间</w:t>
      </w:r>
      <w:r>
        <w:rPr>
          <w:rFonts w:ascii="仿宋_GB2312" w:eastAsia="仿宋_GB2312"/>
          <w:sz w:val="30"/>
          <w:szCs w:val="30"/>
        </w:rPr>
        <w:t>的，</w:t>
      </w:r>
      <w:r>
        <w:rPr>
          <w:rFonts w:hint="eastAsia" w:ascii="仿宋_GB2312" w:eastAsia="仿宋_GB2312"/>
          <w:sz w:val="30"/>
          <w:szCs w:val="30"/>
        </w:rPr>
        <w:t>应</w:t>
      </w:r>
      <w:r>
        <w:rPr>
          <w:rFonts w:ascii="仿宋_GB2312" w:eastAsia="仿宋_GB2312"/>
          <w:sz w:val="30"/>
          <w:szCs w:val="30"/>
        </w:rPr>
        <w:t>使用线性插值法</w:t>
      </w:r>
      <w:r>
        <w:rPr>
          <w:rFonts w:hint="eastAsia" w:ascii="仿宋_GB2312" w:eastAsia="仿宋_GB2312"/>
          <w:sz w:val="30"/>
          <w:szCs w:val="30"/>
        </w:rPr>
        <w:t>计算</w:t>
      </w:r>
      <w:r>
        <w:rPr>
          <w:rFonts w:ascii="仿宋_GB2312" w:eastAsia="仿宋_GB2312"/>
          <w:sz w:val="30"/>
          <w:szCs w:val="30"/>
        </w:rPr>
        <w:t>风险权重。</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（2）对非优先档次，还应根据档次厚度进行以下调整：</w:t>
      </w:r>
    </w:p>
    <w:p>
      <w:pPr>
        <w:spacing w:after="0" w:line="480" w:lineRule="exact"/>
        <w:ind w:firstLine="600" w:firstLineChars="200"/>
        <w:jc w:val="both"/>
        <w:rPr>
          <w:rFonts w:ascii="仿宋_GB2312" w:eastAsia="仿宋_GB2312"/>
          <w:sz w:val="30"/>
          <w:szCs w:val="30"/>
        </w:rPr>
      </w:pPr>
      <w:bookmarkStart w:id="1" w:name="_Hlk505334526"/>
      <w:r>
        <w:rPr>
          <w:rFonts w:hint="eastAsia" w:ascii="仿宋_GB2312" w:eastAsia="仿宋_GB2312"/>
          <w:sz w:val="30"/>
          <w:szCs w:val="30"/>
        </w:rPr>
        <w:t>风险权重=期限调整后的风险权重</w:t>
      </w:r>
      <w:r>
        <w:rPr>
          <w:rFonts w:hint="eastAsia" w:ascii="仿宋_GB2312" w:eastAsia="仿宋_GB2312"/>
          <w:position w:val="-10"/>
          <w:sz w:val="30"/>
          <w:szCs w:val="30"/>
        </w:rPr>
        <w:object>
          <v:shape id="_x0000_i1092" o:spt="75" type="#_x0000_t75" style="height:23.35pt;width:116.65pt;" o:ole="t" filled="f" o:preferrelative="t" stroked="f" coordsize="21600,21600">
            <v:path/>
            <v:fill on="f" focussize="0,0"/>
            <v:stroke on="f" joinstyle="miter"/>
            <v:imagedata r:id="rId133" o:title=""/>
            <o:lock v:ext="edit" aspectratio="t"/>
            <w10:wrap type="none"/>
            <w10:anchorlock/>
          </v:shape>
          <o:OLEObject Type="Embed" ProgID="Equation.KSEE3" ShapeID="_x0000_i1092" DrawAspect="Content" ObjectID="_1468075794" r:id="rId132">
            <o:LockedField>false</o:LockedField>
          </o:OLEObject>
        </w:object>
      </w:r>
      <w:bookmarkEnd w:id="1"/>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其中，</w:t>
      </w:r>
      <w:r>
        <w:rPr>
          <w:rFonts w:hint="eastAsia" w:ascii="仿宋_GB2312" w:hAnsi="仿宋_GB2312" w:eastAsia="仿宋_GB2312" w:cs="仿宋_GB2312"/>
          <w:position w:val="-4"/>
          <w:sz w:val="30"/>
          <w:szCs w:val="30"/>
        </w:rPr>
        <w:object>
          <v:shape id="_x0000_i1093" o:spt="75" type="#_x0000_t75" style="height:18.65pt;width:16pt;" o:ole="t" filled="f" o:preferrelative="t" stroked="f" coordsize="21600,21600">
            <v:path/>
            <v:fill on="f" focussize="0,0"/>
            <v:stroke on="f" joinstyle="miter"/>
            <v:imagedata r:id="rId135" o:title=""/>
            <o:lock v:ext="edit" aspectratio="t"/>
            <w10:wrap type="none"/>
            <w10:anchorlock/>
          </v:shape>
          <o:OLEObject Type="Embed" ProgID="Equation.KSEE3" ShapeID="_x0000_i1093" DrawAspect="Content" ObjectID="_1468075795" r:id="rId134">
            <o:LockedField>false</o:LockedField>
          </o:OLEObject>
        </w:object>
      </w:r>
      <w:r>
        <w:rPr>
          <w:rFonts w:hint="eastAsia" w:ascii="仿宋_GB2312" w:eastAsia="仿宋_GB2312"/>
          <w:sz w:val="30"/>
          <w:szCs w:val="30"/>
        </w:rPr>
        <w:t>为</w:t>
      </w:r>
      <w:r>
        <w:rPr>
          <w:rFonts w:ascii="仿宋_GB2312" w:eastAsia="仿宋_GB2312"/>
          <w:sz w:val="30"/>
          <w:szCs w:val="30"/>
        </w:rPr>
        <w:t>档次厚度，</w:t>
      </w:r>
      <w:r>
        <w:rPr>
          <w:rFonts w:hint="eastAsia" w:ascii="仿宋_GB2312" w:eastAsia="仿宋_GB2312"/>
          <w:sz w:val="30"/>
          <w:szCs w:val="30"/>
        </w:rPr>
        <w:t>等于档次分离点</w:t>
      </w:r>
      <w:r>
        <w:rPr>
          <w:rFonts w:hint="eastAsia" w:ascii="仿宋_GB2312" w:hAnsi="仿宋_GB2312" w:eastAsia="仿宋_GB2312" w:cs="仿宋_GB2312"/>
          <w:position w:val="-4"/>
          <w:sz w:val="30"/>
          <w:szCs w:val="30"/>
        </w:rPr>
        <w:object>
          <v:shape id="_x0000_i1094" o:spt="75" type="#_x0000_t75" style="height:18.65pt;width:18.65pt;" o:ole="t" filled="f" o:preferrelative="t" stroked="f" coordsize="21600,21600">
            <v:path/>
            <v:fill on="f" focussize="0,0"/>
            <v:stroke on="f" joinstyle="miter"/>
            <v:imagedata r:id="rId38" o:title=""/>
            <o:lock v:ext="edit" aspectratio="t"/>
            <w10:wrap type="none"/>
            <w10:anchorlock/>
          </v:shape>
          <o:OLEObject Type="Embed" ProgID="Equation.KSEE3" ShapeID="_x0000_i1094" DrawAspect="Content" ObjectID="_1468075796" r:id="rId136">
            <o:LockedField>false</o:LockedField>
          </o:OLEObject>
        </w:object>
      </w:r>
      <w:r>
        <w:rPr>
          <w:rFonts w:hint="eastAsia" w:ascii="仿宋_GB2312" w:eastAsia="仿宋_GB2312"/>
          <w:sz w:val="30"/>
          <w:szCs w:val="30"/>
        </w:rPr>
        <w:t>值减去档次起始点</w:t>
      </w:r>
      <w:r>
        <w:rPr>
          <w:rFonts w:hint="eastAsia" w:ascii="仿宋_GB2312" w:hAnsi="仿宋_GB2312" w:eastAsia="仿宋_GB2312" w:cs="仿宋_GB2312"/>
          <w:position w:val="-4"/>
          <w:sz w:val="30"/>
          <w:szCs w:val="30"/>
        </w:rPr>
        <w:object>
          <v:shape id="_x0000_i1095" o:spt="75" type="#_x0000_t75" style="height:18.65pt;width:18.65pt;" o:ole="t" filled="f" o:preferrelative="t" stroked="f" coordsize="21600,21600">
            <v:path/>
            <v:fill on="f" focussize="0,0"/>
            <v:stroke on="f" joinstyle="miter"/>
            <v:imagedata r:id="rId36" o:title=""/>
            <o:lock v:ext="edit" aspectratio="t"/>
            <w10:wrap type="none"/>
            <w10:anchorlock/>
          </v:shape>
          <o:OLEObject Type="Embed" ProgID="Equation.KSEE3" ShapeID="_x0000_i1095" DrawAspect="Content" ObjectID="_1468075797" r:id="rId137">
            <o:LockedField>false</o:LockedField>
          </o:OLEObject>
        </w:object>
      </w:r>
      <w:r>
        <w:rPr>
          <w:rFonts w:hint="eastAsia" w:ascii="仿宋_GB2312" w:eastAsia="仿宋_GB2312"/>
          <w:sz w:val="30"/>
          <w:szCs w:val="30"/>
        </w:rPr>
        <w:t>值</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（三）市场风险对冲工具（如汇率互换或利率互换）可使用与其偿付顺序相同的资产证券化档次所对应的风险权重。如果没有相同档次，则使用低一档次所对应的风险权重。</w:t>
      </w:r>
    </w:p>
    <w:p>
      <w:pPr>
        <w:spacing w:after="0" w:line="480" w:lineRule="exact"/>
        <w:ind w:firstLine="600" w:firstLineChars="200"/>
        <w:jc w:val="both"/>
        <w:rPr>
          <w:rFonts w:ascii="仿宋_GB2312" w:eastAsia="仿宋_GB2312"/>
          <w:kern w:val="2"/>
          <w:sz w:val="30"/>
          <w:szCs w:val="30"/>
        </w:rPr>
      </w:pPr>
      <w:r>
        <w:rPr>
          <w:rFonts w:hint="eastAsia" w:ascii="仿宋_GB2312" w:eastAsia="仿宋_GB2312"/>
          <w:sz w:val="30"/>
          <w:szCs w:val="30"/>
        </w:rPr>
        <w:t>（四）</w:t>
      </w:r>
      <w:r>
        <w:rPr>
          <w:rFonts w:hint="eastAsia" w:ascii="仿宋_GB2312" w:eastAsia="仿宋_GB2312"/>
          <w:kern w:val="2"/>
          <w:sz w:val="30"/>
          <w:szCs w:val="30"/>
        </w:rPr>
        <w:t>使用外部评级法计量资产证券化风险暴露资本要求时，除满足本办法附件25的要求外，还应满足下列操作标准：</w:t>
      </w:r>
    </w:p>
    <w:p>
      <w:pPr>
        <w:pStyle w:val="67"/>
        <w:spacing w:after="0" w:line="480" w:lineRule="exact"/>
        <w:ind w:firstLine="600" w:firstLineChars="200"/>
        <w:rPr>
          <w:rFonts w:ascii="仿宋_GB2312" w:hAnsi="Times New Roman" w:eastAsia="仿宋_GB2312"/>
          <w:kern w:val="2"/>
          <w:sz w:val="30"/>
          <w:szCs w:val="30"/>
          <w:lang w:val="en-US"/>
        </w:rPr>
      </w:pPr>
      <w:r>
        <w:rPr>
          <w:rFonts w:hint="eastAsia" w:ascii="仿宋_GB2312" w:hAnsi="Times New Roman" w:eastAsia="仿宋_GB2312"/>
          <w:kern w:val="2"/>
          <w:sz w:val="30"/>
          <w:szCs w:val="30"/>
          <w:lang w:val="en-US"/>
        </w:rPr>
        <w:t>1.为了有效计算风险权重，外部信用评估必须要全额考虑和反映</w:t>
      </w:r>
      <w:r>
        <w:rPr>
          <w:rFonts w:hint="eastAsia" w:ascii="仿宋_GB2312" w:eastAsia="仿宋_GB2312"/>
          <w:sz w:val="30"/>
          <w:szCs w:val="30"/>
          <w:lang w:val="en-US"/>
        </w:rPr>
        <w:t>商业</w:t>
      </w:r>
      <w:r>
        <w:rPr>
          <w:rFonts w:hint="eastAsia" w:ascii="仿宋_GB2312" w:hAnsi="Times New Roman" w:eastAsia="仿宋_GB2312"/>
          <w:kern w:val="2"/>
          <w:sz w:val="30"/>
          <w:szCs w:val="30"/>
          <w:lang w:val="en-US"/>
        </w:rPr>
        <w:t>银行债权的信用风险。如，</w:t>
      </w:r>
      <w:r>
        <w:rPr>
          <w:rFonts w:hint="eastAsia" w:ascii="仿宋_GB2312" w:eastAsia="仿宋_GB2312"/>
          <w:sz w:val="30"/>
          <w:szCs w:val="30"/>
          <w:lang w:val="en-US"/>
        </w:rPr>
        <w:t>商业</w:t>
      </w:r>
      <w:r>
        <w:rPr>
          <w:rFonts w:hint="eastAsia" w:ascii="仿宋_GB2312" w:hAnsi="Times New Roman" w:eastAsia="仿宋_GB2312"/>
          <w:kern w:val="2"/>
          <w:sz w:val="30"/>
          <w:szCs w:val="30"/>
          <w:lang w:val="en-US"/>
        </w:rPr>
        <w:t>银行的债权既包括本金又包括利息，那么评估就必须要考虑和反映与本金和利息及时偿还相关的信用风险。</w:t>
      </w:r>
    </w:p>
    <w:p>
      <w:pPr>
        <w:pStyle w:val="67"/>
        <w:spacing w:after="0" w:line="480" w:lineRule="exact"/>
        <w:ind w:firstLine="600" w:firstLineChars="200"/>
        <w:rPr>
          <w:rFonts w:ascii="仿宋_GB2312" w:hAnsi="Times New Roman" w:eastAsia="仿宋_GB2312"/>
          <w:kern w:val="2"/>
          <w:sz w:val="30"/>
          <w:szCs w:val="30"/>
          <w:lang w:val="en-US"/>
        </w:rPr>
      </w:pPr>
      <w:r>
        <w:rPr>
          <w:rFonts w:hint="eastAsia" w:ascii="仿宋_GB2312" w:hAnsi="Times New Roman" w:eastAsia="仿宋_GB2312"/>
          <w:kern w:val="2"/>
          <w:sz w:val="30"/>
          <w:szCs w:val="30"/>
          <w:lang w:val="en-US"/>
        </w:rPr>
        <w:t>2.外部信用评级必须由经相关监管部门认可的合格外部评级机构做出，以下情况例外。合格的信用评级、流程、方法、假设和评级用关键要素应该无选择地公之于众，并且完全免费。换言之，信用评级必须以公众可以获取的方式发布，并且包括在外部评级机构的评级迁徙矩阵中。此外，损失、现金流分析以及评级结果对主要评级假设变化的敏感性也应该公开。只对交易相关方提供信用评级不能满足外部评级法使用要求。</w:t>
      </w:r>
    </w:p>
    <w:p>
      <w:pPr>
        <w:pStyle w:val="67"/>
        <w:spacing w:after="0" w:line="480" w:lineRule="exact"/>
        <w:ind w:firstLine="600" w:firstLineChars="200"/>
        <w:rPr>
          <w:rFonts w:ascii="仿宋_GB2312" w:hAnsi="Times New Roman" w:eastAsia="仿宋_GB2312"/>
          <w:kern w:val="2"/>
          <w:sz w:val="30"/>
          <w:szCs w:val="30"/>
          <w:lang w:val="en-US"/>
        </w:rPr>
      </w:pPr>
      <w:r>
        <w:rPr>
          <w:rFonts w:hint="eastAsia" w:ascii="仿宋_GB2312" w:hAnsi="Times New Roman" w:eastAsia="仿宋_GB2312"/>
          <w:kern w:val="2"/>
          <w:sz w:val="30"/>
          <w:szCs w:val="30"/>
          <w:lang w:val="en-US"/>
        </w:rPr>
        <w:t>3.合格外部评级机构必须证明其在资产证券化方面具有专长，这要以很好的市场接受程度来证明。</w:t>
      </w:r>
    </w:p>
    <w:p>
      <w:pPr>
        <w:pStyle w:val="67"/>
        <w:spacing w:after="0" w:line="480" w:lineRule="exact"/>
        <w:ind w:firstLine="600" w:firstLineChars="200"/>
        <w:rPr>
          <w:rFonts w:ascii="仿宋_GB2312" w:hAnsi="Times New Roman" w:eastAsia="仿宋_GB2312"/>
          <w:kern w:val="2"/>
          <w:sz w:val="30"/>
          <w:szCs w:val="30"/>
          <w:lang w:val="en-US"/>
        </w:rPr>
      </w:pPr>
      <w:r>
        <w:rPr>
          <w:rFonts w:hint="eastAsia" w:ascii="仿宋_GB2312" w:hAnsi="Times New Roman" w:eastAsia="仿宋_GB2312"/>
          <w:kern w:val="2"/>
          <w:sz w:val="30"/>
          <w:szCs w:val="30"/>
          <w:lang w:val="en-US"/>
        </w:rPr>
        <w:t>4.同一资产证券化风险暴露具有两个不同评级结果时，商业银行应当运用所对应的较高风险权重。同一资产证券化风险暴露具有三个或三个以上的评级结果时，商业银行应从所对应的两个较低的风险权重中选用较高的风险权重。</w:t>
      </w:r>
    </w:p>
    <w:p>
      <w:pPr>
        <w:pStyle w:val="67"/>
        <w:spacing w:after="0" w:line="480" w:lineRule="exact"/>
        <w:ind w:firstLine="600" w:firstLineChars="200"/>
        <w:rPr>
          <w:rFonts w:ascii="仿宋_GB2312" w:hAnsi="Times New Roman" w:eastAsia="仿宋_GB2312"/>
          <w:kern w:val="2"/>
          <w:sz w:val="30"/>
          <w:szCs w:val="30"/>
          <w:lang w:val="en-US"/>
        </w:rPr>
      </w:pPr>
      <w:r>
        <w:rPr>
          <w:rFonts w:hint="eastAsia" w:ascii="仿宋_GB2312" w:hAnsi="Times New Roman" w:eastAsia="仿宋_GB2312"/>
          <w:kern w:val="2"/>
          <w:sz w:val="30"/>
          <w:szCs w:val="30"/>
          <w:lang w:val="en-US"/>
        </w:rPr>
        <w:t>5.当信用风险缓释直接提供给特定的基础风险暴露或者整个资产池时，如果提供者当前外部信用评级在BBB-（含）以上，且在提供信用风险缓释时外部信用评级在A-（含）以上，并且该信用风险缓释反映在资产证券化风险暴露的外部评级中，则应使用该外部信用评估对应的风险权重。为避免重复计算，对于信用风险缓释不需持有额外资本。若信用风险缓释的提供者不满足上述要求，则该资产证券化风险暴露应作为未评级处理。</w:t>
      </w:r>
    </w:p>
    <w:p>
      <w:pPr>
        <w:pStyle w:val="67"/>
        <w:spacing w:after="0" w:line="480" w:lineRule="exact"/>
        <w:ind w:firstLine="600" w:firstLineChars="200"/>
        <w:rPr>
          <w:rFonts w:ascii="仿宋_GB2312" w:hAnsi="Times New Roman" w:eastAsia="仿宋_GB2312"/>
          <w:kern w:val="2"/>
          <w:sz w:val="30"/>
          <w:szCs w:val="30"/>
          <w:lang w:val="en-US"/>
        </w:rPr>
      </w:pPr>
      <w:r>
        <w:rPr>
          <w:rFonts w:hint="eastAsia" w:ascii="仿宋_GB2312" w:hAnsi="Times New Roman" w:eastAsia="仿宋_GB2312"/>
          <w:kern w:val="2"/>
          <w:sz w:val="30"/>
          <w:szCs w:val="30"/>
          <w:lang w:val="en-US"/>
        </w:rPr>
        <w:t>6.如果信用风险缓释仅在某个给定结构(如资产支持证券档次)中的特定资产证券化风险暴露中使用，</w:t>
      </w:r>
      <w:r>
        <w:rPr>
          <w:rFonts w:hint="eastAsia" w:ascii="仿宋_GB2312" w:eastAsia="仿宋_GB2312"/>
          <w:sz w:val="30"/>
          <w:szCs w:val="30"/>
          <w:lang w:val="en-US"/>
        </w:rPr>
        <w:t>商业</w:t>
      </w:r>
      <w:r>
        <w:rPr>
          <w:rFonts w:hint="eastAsia" w:ascii="仿宋_GB2312" w:hAnsi="Times New Roman" w:eastAsia="仿宋_GB2312"/>
          <w:kern w:val="2"/>
          <w:sz w:val="30"/>
          <w:szCs w:val="30"/>
          <w:lang w:val="en-US"/>
        </w:rPr>
        <w:t>银行应按照未评级来处理这些风险暴露，然后使用规定的信用风险缓释处理方法。</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7.如果资产证券化外部评级基于或部分基于商业银行提供的非资金支持（如流动性便利或信用增级），则不得使用外部评级结果确定风险权重，而应按未评级处理。</w:t>
      </w:r>
    </w:p>
    <w:p>
      <w:pPr>
        <w:spacing w:after="0" w:line="480" w:lineRule="exact"/>
        <w:ind w:firstLine="600" w:firstLineChars="200"/>
        <w:jc w:val="both"/>
        <w:rPr>
          <w:rFonts w:ascii="仿宋_GB2312"/>
          <w:sz w:val="30"/>
          <w:szCs w:val="30"/>
        </w:rPr>
      </w:pPr>
      <w:r>
        <w:rPr>
          <w:rFonts w:hint="eastAsia" w:ascii="仿宋_GB2312" w:eastAsia="仿宋_GB2312"/>
          <w:sz w:val="30"/>
          <w:szCs w:val="30"/>
        </w:rPr>
        <w:t>（五）当满足下列条件，且未评级资产证券化风险暴露在各方面都优于作为参考的具有外部评级的资产证券化风险暴露时，商业银行必须对未评级资产证券化风险暴露进行推测评级，并采用外部评级与风险权重对应关系确定其风险权重。</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未评级的资产证券化风险暴露在各方面都比作为参考的资产证券化风险暴露具有更高的优先级。在评估未评级资产证券化风险暴露和参考证券化风险暴露的优先级别时，必须考虑信用增级的作用。如果参考资产证券化风险暴露由第三方保证或者其他信用增级提供保护，而对未评级资产证券化风险暴露没有提供上述信用增级，则不能依据参考资产证券化风险暴露对未评级资产证券化风险暴露进行推测评级。</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参考资产证券化风险暴露的期限</w:t>
      </w:r>
      <w:r>
        <w:rPr>
          <w:rFonts w:hint="eastAsia" w:ascii="仿宋_GB2312" w:eastAsia="仿宋_GB2312"/>
          <w:sz w:val="30"/>
          <w:szCs w:val="30"/>
        </w:rPr>
        <w:t>，</w:t>
      </w:r>
      <w:r>
        <w:rPr>
          <w:rFonts w:ascii="仿宋_GB2312" w:eastAsia="仿宋_GB2312"/>
          <w:sz w:val="30"/>
          <w:szCs w:val="30"/>
        </w:rPr>
        <w:t>必须大于或等于未评级风险暴露的期限。</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w:t>
      </w:r>
      <w:r>
        <w:rPr>
          <w:rFonts w:ascii="仿宋_GB2312" w:eastAsia="仿宋_GB2312"/>
          <w:sz w:val="30"/>
          <w:szCs w:val="30"/>
        </w:rPr>
        <w:t>参考资产证券化风险暴露的外部评级，必须满足外部评级的使用规范</w:t>
      </w:r>
      <w:r>
        <w:rPr>
          <w:rFonts w:hint="eastAsia" w:ascii="仿宋_GB2312" w:eastAsia="仿宋_GB2312"/>
          <w:sz w:val="30"/>
          <w:szCs w:val="30"/>
        </w:rPr>
        <w:t>，并经商业银行认可作为确定风险权重的依据</w:t>
      </w:r>
      <w:r>
        <w:rPr>
          <w:rFonts w:ascii="仿宋_GB2312" w:eastAsia="仿宋_GB2312"/>
          <w:sz w:val="30"/>
          <w:szCs w:val="30"/>
        </w:rPr>
        <w:t>。</w:t>
      </w:r>
    </w:p>
    <w:p>
      <w:pPr>
        <w:spacing w:after="0" w:line="480" w:lineRule="exact"/>
        <w:ind w:firstLine="600" w:firstLineChars="200"/>
        <w:jc w:val="both"/>
        <w:rPr>
          <w:rFonts w:ascii="仿宋_GB2312" w:eastAsia="仿宋_GB2312"/>
          <w:sz w:val="36"/>
          <w:szCs w:val="36"/>
        </w:rPr>
      </w:pPr>
      <w:r>
        <w:rPr>
          <w:rFonts w:ascii="仿宋_GB2312" w:eastAsia="仿宋_GB2312"/>
          <w:sz w:val="30"/>
          <w:szCs w:val="30"/>
        </w:rPr>
        <w:t>推测评级应当根据参考资产证券化风险暴露外部评级的变化，持续不断地进行更新。</w:t>
      </w:r>
    </w:p>
    <w:p>
      <w:pPr>
        <w:pStyle w:val="3"/>
        <w:ind w:left="0" w:leftChars="0"/>
      </w:pPr>
      <w:r>
        <w:rPr>
          <w:rFonts w:hint="eastAsia"/>
        </w:rPr>
        <w:t>五、资产证券化标准法</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（一）资产证券化标准法下，按以下规则确定风险权重：</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当</w:t>
      </w:r>
      <w:r>
        <w:rPr>
          <w:rFonts w:hint="eastAsia" w:ascii="仿宋_GB2312" w:hAnsi="仿宋_GB2312" w:eastAsia="仿宋_GB2312" w:cs="仿宋_GB2312"/>
          <w:position w:val="-10"/>
          <w:sz w:val="30"/>
          <w:szCs w:val="30"/>
        </w:rPr>
        <w:object>
          <v:shape id="_x0000_i1096" o:spt="75" type="#_x0000_t75" style="height:21.35pt;width:56.65pt;" o:ole="t" filled="f" o:preferrelative="t" stroked="f" coordsize="21600,21600">
            <v:path/>
            <v:fill on="f" focussize="0,0"/>
            <v:stroke on="f" joinstyle="miter"/>
            <v:imagedata r:id="rId139" o:title=""/>
            <o:lock v:ext="edit" aspectratio="t"/>
            <w10:wrap type="none"/>
            <w10:anchorlock/>
          </v:shape>
          <o:OLEObject Type="Embed" ProgID="Equation.3" ShapeID="_x0000_i1096" DrawAspect="Content" ObjectID="_1468075798" r:id="rId138">
            <o:LockedField>false</o:LockedField>
          </o:OLEObject>
        </w:object>
      </w:r>
      <w:r>
        <w:rPr>
          <w:rFonts w:hint="eastAsia" w:ascii="仿宋_GB2312" w:eastAsia="仿宋_GB2312"/>
          <w:sz w:val="30"/>
          <w:szCs w:val="30"/>
        </w:rPr>
        <w:t>时，风险权重为</w:t>
      </w:r>
      <w:r>
        <w:rPr>
          <w:rFonts w:ascii="仿宋_GB2312" w:eastAsia="仿宋_GB2312"/>
          <w:sz w:val="30"/>
          <w:szCs w:val="30"/>
        </w:rPr>
        <w:t>1250%。</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当</w:t>
      </w:r>
      <w:r>
        <w:rPr>
          <w:rFonts w:hint="eastAsia" w:ascii="仿宋_GB2312" w:hAnsi="仿宋_GB2312" w:eastAsia="仿宋_GB2312" w:cs="仿宋_GB2312"/>
          <w:position w:val="-10"/>
          <w:sz w:val="30"/>
          <w:szCs w:val="30"/>
        </w:rPr>
        <w:object>
          <v:shape id="_x0000_i1097" o:spt="75" type="#_x0000_t75" style="height:21.35pt;width:54.65pt;" o:ole="t" filled="f" o:preferrelative="t" stroked="f" coordsize="21600,21600">
            <v:path/>
            <v:fill on="f" focussize="0,0"/>
            <v:stroke on="f" joinstyle="miter"/>
            <v:imagedata r:id="rId141" o:title=""/>
            <o:lock v:ext="edit" aspectratio="t"/>
            <w10:wrap type="none"/>
            <w10:anchorlock/>
          </v:shape>
          <o:OLEObject Type="Embed" ProgID="Equation.3" ShapeID="_x0000_i1097" DrawAspect="Content" ObjectID="_1468075799" r:id="rId140">
            <o:LockedField>false</o:LockedField>
          </o:OLEObject>
        </w:object>
      </w:r>
      <w:r>
        <w:rPr>
          <w:rFonts w:hint="eastAsia" w:ascii="仿宋_GB2312" w:eastAsia="仿宋_GB2312"/>
          <w:sz w:val="30"/>
          <w:szCs w:val="30"/>
        </w:rPr>
        <w:t>时，风险权重为</w:t>
      </w:r>
      <w:r>
        <w:rPr>
          <w:rFonts w:hint="eastAsia" w:ascii="仿宋_GB2312" w:hAnsi="仿宋_GB2312" w:eastAsia="仿宋_GB2312" w:cs="仿宋_GB2312"/>
          <w:position w:val="-14"/>
          <w:sz w:val="30"/>
          <w:szCs w:val="30"/>
        </w:rPr>
        <w:object>
          <v:shape id="_x0000_i1098" o:spt="75" type="#_x0000_t75" style="height:23.35pt;width:58pt;" o:ole="t" filled="f" o:preferrelative="t" stroked="f" coordsize="21600,21600">
            <v:path/>
            <v:fill on="f" focussize="0,0"/>
            <v:stroke on="f" joinstyle="miter"/>
            <v:imagedata r:id="rId143" o:title=""/>
            <o:lock v:ext="edit" aspectratio="t"/>
            <w10:wrap type="none"/>
            <w10:anchorlock/>
          </v:shape>
          <o:OLEObject Type="Embed" ProgID="Equation.KSEE3" ShapeID="_x0000_i1098" DrawAspect="Content" ObjectID="_1468075800" r:id="rId142">
            <o:LockedField>false</o:LockedField>
          </o:OLEObject>
        </w:object>
      </w:r>
      <w:r>
        <w:rPr>
          <w:rFonts w:hint="eastAsia" w:ascii="仿宋_GB2312" w:eastAsia="仿宋_GB2312"/>
          <w:sz w:val="30"/>
          <w:szCs w:val="30"/>
        </w:rPr>
        <w:t>与</w:t>
      </w:r>
      <w:r>
        <w:rPr>
          <w:rFonts w:ascii="仿宋_GB2312" w:eastAsia="仿宋_GB2312"/>
          <w:sz w:val="30"/>
          <w:szCs w:val="30"/>
        </w:rPr>
        <w:t>12.5的乘积。</w:t>
      </w:r>
    </w:p>
    <w:p>
      <w:pPr>
        <w:spacing w:after="0" w:line="480" w:lineRule="exact"/>
        <w:ind w:firstLine="600" w:firstLineChars="200"/>
        <w:jc w:val="both"/>
        <w:rPr>
          <w:rFonts w:ascii="仿宋_GB2312" w:eastAsia="仿宋_GB2312"/>
          <w:sz w:val="30"/>
          <w:szCs w:val="30"/>
        </w:rPr>
      </w:pPr>
      <w:r>
        <w:rPr>
          <w:rFonts w:ascii="仿宋_GB2312" w:hAnsi="仿宋_GB2312" w:eastAsia="仿宋_GB2312" w:cs="仿宋_GB2312"/>
          <w:position w:val="-30"/>
          <w:sz w:val="30"/>
          <w:szCs w:val="30"/>
        </w:rPr>
        <w:pict>
          <v:shape id="对象 15" o:spid="_x0000_s2050" o:spt="75" type="#_x0000_t75" style="position:absolute;left:0pt;margin-left:76pt;margin-top:34.3pt;height:41.5pt;width:312.3pt;mso-wrap-distance-bottom:0pt;mso-wrap-distance-top:0pt;z-index:251661312;mso-width-relative:page;mso-height-relative:page;" o:ole="t" filled="f" o:preferrelative="t" stroked="f" coordsize="21600,21600">
            <v:path/>
            <v:fill on="f" focussize="0,0"/>
            <v:stroke on="f" joinstyle="miter"/>
            <v:imagedata r:id="rId145" o:title=""/>
            <o:lock v:ext="edit" aspectratio="t"/>
            <w10:wrap type="topAndBottom"/>
          </v:shape>
          <o:OLEObject Type="Embed" ProgID="Equation.3" ShapeID="对象 15" DrawAspect="Content" ObjectID="_1468075801" r:id="rId144">
            <o:LockedField>false</o:LockedField>
          </o:OLEObject>
        </w:pict>
      </w:r>
      <w:r>
        <w:rPr>
          <w:rFonts w:ascii="仿宋_GB2312" w:eastAsia="仿宋_GB2312"/>
          <w:sz w:val="30"/>
          <w:szCs w:val="30"/>
        </w:rPr>
        <w:t>3</w:t>
      </w:r>
      <w:r>
        <w:rPr>
          <w:rFonts w:hint="eastAsia" w:ascii="仿宋_GB2312" w:eastAsia="仿宋_GB2312"/>
          <w:sz w:val="30"/>
          <w:szCs w:val="30"/>
        </w:rPr>
        <w:t>.</w:t>
      </w:r>
      <w:r>
        <w:rPr>
          <w:rFonts w:ascii="仿宋_GB2312" w:eastAsia="仿宋_GB2312"/>
          <w:sz w:val="30"/>
          <w:szCs w:val="30"/>
        </w:rPr>
        <w:t>当</w:t>
      </w:r>
      <w:r>
        <w:rPr>
          <w:rFonts w:hint="eastAsia" w:ascii="仿宋_GB2312" w:hAnsi="仿宋_GB2312" w:eastAsia="仿宋_GB2312" w:cs="仿宋_GB2312"/>
          <w:position w:val="-10"/>
          <w:sz w:val="30"/>
          <w:szCs w:val="30"/>
        </w:rPr>
        <w:object>
          <v:shape id="_x0000_i1099" o:spt="75" type="#_x0000_t75" style="height:21.35pt;width:88pt;" o:ole="t" filled="f" o:preferrelative="t" stroked="f" coordsize="21600,21600">
            <v:path/>
            <v:fill on="f" focussize="0,0"/>
            <v:stroke on="f" joinstyle="miter"/>
            <v:imagedata r:id="rId147" o:title=""/>
            <o:lock v:ext="edit" aspectratio="t"/>
            <w10:wrap type="none"/>
            <w10:anchorlock/>
          </v:shape>
          <o:OLEObject Type="Embed" ProgID="Equation.3" ShapeID="_x0000_i1099" DrawAspect="Content" ObjectID="_1468075802" r:id="rId146">
            <o:LockedField>false</o:LockedField>
          </o:OLEObject>
        </w:object>
      </w:r>
      <w:r>
        <w:rPr>
          <w:rFonts w:hint="eastAsia" w:ascii="仿宋_GB2312" w:eastAsia="仿宋_GB2312"/>
          <w:sz w:val="30"/>
          <w:szCs w:val="30"/>
        </w:rPr>
        <w:t>时，风险权重计算公式如下：</w:t>
      </w:r>
    </w:p>
    <w:p>
      <w:pPr>
        <w:spacing w:after="0" w:line="480" w:lineRule="exact"/>
        <w:jc w:val="both"/>
        <w:rPr>
          <w:rFonts w:ascii="仿宋_GB2312" w:eastAsia="仿宋_GB2312"/>
          <w:sz w:val="30"/>
          <w:szCs w:val="30"/>
        </w:rPr>
      </w:pPr>
      <w:r>
        <w:rPr>
          <w:rFonts w:hint="eastAsia" w:ascii="仿宋_GB2312" w:eastAsia="仿宋_GB2312"/>
          <w:sz w:val="30"/>
          <w:szCs w:val="30"/>
        </w:rPr>
        <w:t>　　其中，</w:t>
      </w:r>
      <w:r>
        <w:rPr>
          <w:rFonts w:hint="eastAsia" w:ascii="仿宋_GB2312" w:hAnsi="仿宋_GB2312" w:eastAsia="仿宋_GB2312" w:cs="仿宋_GB2312"/>
          <w:position w:val="-10"/>
          <w:sz w:val="30"/>
          <w:szCs w:val="30"/>
        </w:rPr>
        <w:object>
          <v:shape id="_x0000_i1100" o:spt="75" type="#_x0000_t75" style="height:21.35pt;width:26pt;" o:ole="t" filled="f" o:preferrelative="t" stroked="f" coordsize="21600,21600">
            <v:path/>
            <v:fill on="f" focussize="0,0"/>
            <v:stroke on="f" joinstyle="miter"/>
            <v:imagedata r:id="rId149" o:title=""/>
            <o:lock v:ext="edit" aspectratio="t"/>
            <w10:wrap type="none"/>
            <w10:anchorlock/>
          </v:shape>
          <o:OLEObject Type="Embed" ProgID="Equation.3" ShapeID="_x0000_i1100" DrawAspect="Content" ObjectID="_1468075803" r:id="rId148">
            <o:LockedField>false</o:LockedField>
          </o:OLEObject>
        </w:object>
      </w:r>
      <w:r>
        <w:rPr>
          <w:rFonts w:hint="eastAsia" w:ascii="仿宋_GB2312" w:eastAsia="仿宋_GB2312"/>
          <w:sz w:val="30"/>
          <w:szCs w:val="30"/>
        </w:rPr>
        <w:t>为基础资产池在报告日按信用风险权重法计量的监管资本要求，且反映已逾期基础资产的影响；</w:t>
      </w:r>
      <w:r>
        <w:rPr>
          <w:rFonts w:hint="eastAsia" w:ascii="仿宋_GB2312" w:hAnsi="仿宋_GB2312" w:eastAsia="仿宋_GB2312" w:cs="仿宋_GB2312"/>
          <w:position w:val="-4"/>
          <w:sz w:val="30"/>
          <w:szCs w:val="30"/>
        </w:rPr>
        <w:object>
          <v:shape id="_x0000_i1101" o:spt="75" type="#_x0000_t75" style="height:18.65pt;width:18.65pt;" o:ole="t" filled="f" o:preferrelative="t" stroked="f" coordsize="21600,21600">
            <v:path/>
            <v:fill on="f" focussize="0,0"/>
            <v:stroke on="f" joinstyle="miter"/>
            <v:imagedata r:id="rId36" o:title=""/>
            <o:lock v:ext="edit" aspectratio="t"/>
            <w10:wrap type="none"/>
            <w10:anchorlock/>
          </v:shape>
          <o:OLEObject Type="Embed" ProgID="Equation.KSEE3" ShapeID="_x0000_i1101" DrawAspect="Content" ObjectID="_1468075804" r:id="rId150">
            <o:LockedField>false</o:LockedField>
          </o:OLEObject>
        </w:object>
      </w:r>
      <w:r>
        <w:rPr>
          <w:rFonts w:hint="eastAsia" w:ascii="仿宋_GB2312" w:eastAsia="仿宋_GB2312"/>
          <w:sz w:val="30"/>
          <w:szCs w:val="30"/>
        </w:rPr>
        <w:t>为档次起始点；</w:t>
      </w:r>
      <w:r>
        <w:rPr>
          <w:rFonts w:hint="eastAsia" w:ascii="仿宋_GB2312" w:hAnsi="仿宋_GB2312" w:eastAsia="仿宋_GB2312" w:cs="仿宋_GB2312"/>
          <w:position w:val="-4"/>
          <w:sz w:val="30"/>
          <w:szCs w:val="30"/>
        </w:rPr>
        <w:object>
          <v:shape id="_x0000_i1102" o:spt="75" type="#_x0000_t75" style="height:18.65pt;width:18.65pt;" o:ole="t" filled="f" o:preferrelative="t" stroked="f" coordsize="21600,21600">
            <v:path/>
            <v:fill on="f" focussize="0,0"/>
            <v:stroke on="f" joinstyle="miter"/>
            <v:imagedata r:id="rId38" o:title=""/>
            <o:lock v:ext="edit" aspectratio="t"/>
            <w10:wrap type="none"/>
            <w10:anchorlock/>
          </v:shape>
          <o:OLEObject Type="Embed" ProgID="Equation.KSEE3" ShapeID="_x0000_i1102" DrawAspect="Content" ObjectID="_1468075805" r:id="rId151">
            <o:LockedField>false</o:LockedField>
          </o:OLEObject>
        </w:object>
      </w:r>
      <w:r>
        <w:rPr>
          <w:rFonts w:hint="eastAsia" w:ascii="仿宋_GB2312" w:eastAsia="仿宋_GB2312"/>
          <w:sz w:val="30"/>
          <w:szCs w:val="30"/>
        </w:rPr>
        <w:t>为</w:t>
      </w:r>
      <w:r>
        <w:rPr>
          <w:rFonts w:ascii="仿宋_GB2312" w:eastAsia="仿宋_GB2312"/>
          <w:sz w:val="30"/>
          <w:szCs w:val="30"/>
        </w:rPr>
        <w:t>档次分离点</w:t>
      </w:r>
      <w:r>
        <w:rPr>
          <w:rFonts w:hint="eastAsia" w:ascii="仿宋_GB2312" w:eastAsia="仿宋_GB2312"/>
          <w:sz w:val="30"/>
          <w:szCs w:val="30"/>
        </w:rPr>
        <w:t>；</w:t>
      </w:r>
      <w:r>
        <w:rPr>
          <w:rFonts w:hint="eastAsia" w:ascii="仿宋_GB2312" w:hAnsi="仿宋_GB2312" w:eastAsia="仿宋_GB2312" w:cs="仿宋_GB2312"/>
          <w:position w:val="-14"/>
          <w:sz w:val="30"/>
          <w:szCs w:val="30"/>
        </w:rPr>
        <w:object>
          <v:shape id="_x0000_i1103" o:spt="75" type="#_x0000_t75" style="height:23.35pt;width:58pt;" o:ole="t" filled="f" o:preferrelative="t" stroked="f" coordsize="21600,21600">
            <v:path/>
            <v:fill on="f" focussize="0,0"/>
            <v:stroke on="f" joinstyle="miter"/>
            <v:imagedata r:id="rId143" o:title=""/>
            <o:lock v:ext="edit" aspectratio="t"/>
            <w10:wrap type="none"/>
            <w10:anchorlock/>
          </v:shape>
          <o:OLEObject Type="Embed" ProgID="Equation.KSEE3" ShapeID="_x0000_i1103" DrawAspect="Content" ObjectID="_1468075806" r:id="rId152">
            <o:LockedField>false</o:LockedField>
          </o:OLEObject>
        </w:object>
      </w:r>
      <w:r>
        <w:rPr>
          <w:rFonts w:hint="eastAsia" w:ascii="仿宋_GB2312" w:eastAsia="仿宋_GB2312"/>
          <w:sz w:val="30"/>
          <w:szCs w:val="30"/>
        </w:rPr>
        <w:t>为标准法下每单位资产证券化风险暴露的资本要求</w:t>
      </w:r>
      <w:r>
        <w:rPr>
          <w:rFonts w:ascii="仿宋_GB2312" w:eastAsia="仿宋_GB2312"/>
          <w:sz w:val="30"/>
          <w:szCs w:val="30"/>
        </w:rPr>
        <w:t>。</w:t>
      </w:r>
    </w:p>
    <w:p>
      <w:pPr>
        <w:widowControl w:val="0"/>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（二）</w:t>
      </w:r>
      <w:r>
        <w:rPr>
          <w:rFonts w:hint="eastAsia" w:ascii="仿宋_GB2312" w:hAnsi="仿宋_GB2312" w:eastAsia="仿宋_GB2312" w:cs="仿宋_GB2312"/>
          <w:position w:val="-10"/>
          <w:sz w:val="30"/>
          <w:szCs w:val="30"/>
        </w:rPr>
        <w:object>
          <v:shape id="_x0000_i1104" o:spt="75" type="#_x0000_t75" style="height:21.35pt;width:26pt;" o:ole="t" filled="f" o:preferrelative="t" stroked="f" coordsize="21600,21600">
            <v:path/>
            <v:fill on="f" focussize="0,0"/>
            <v:stroke on="f" joinstyle="miter"/>
            <v:imagedata r:id="rId149" o:title=""/>
            <o:lock v:ext="edit" aspectratio="t"/>
            <w10:wrap type="none"/>
            <w10:anchorlock/>
          </v:shape>
          <o:OLEObject Type="Embed" ProgID="Equation.3" ShapeID="_x0000_i1104" DrawAspect="Content" ObjectID="_1468075807" r:id="rId153">
            <o:LockedField>false</o:LockedField>
          </o:OLEObject>
        </w:object>
      </w:r>
      <w:r>
        <w:rPr>
          <w:rFonts w:hint="eastAsia" w:ascii="仿宋_GB2312" w:eastAsia="仿宋_GB2312"/>
          <w:sz w:val="30"/>
          <w:szCs w:val="30"/>
        </w:rPr>
        <w:t>计算公式：</w:t>
      </w:r>
    </w:p>
    <w:p>
      <w:pPr>
        <w:spacing w:after="0" w:line="480" w:lineRule="exact"/>
        <w:jc w:val="center"/>
        <w:rPr>
          <w:rFonts w:ascii="仿宋_GB2312" w:eastAsia="仿宋_GB2312"/>
          <w:sz w:val="30"/>
          <w:szCs w:val="30"/>
        </w:rPr>
      </w:pPr>
      <w:r>
        <w:rPr>
          <w:rFonts w:hint="eastAsia" w:ascii="仿宋_GB2312" w:hAnsi="仿宋_GB2312" w:eastAsia="仿宋_GB2312" w:cs="仿宋_GB2312"/>
          <w:position w:val="-12"/>
          <w:sz w:val="30"/>
          <w:szCs w:val="30"/>
        </w:rPr>
        <w:object>
          <v:shape id="_x0000_i1105" o:spt="75" type="#_x0000_t75" style="height:22.65pt;width:184pt;" o:ole="t" filled="f" o:preferrelative="t" stroked="f" coordsize="21600,21600">
            <v:path/>
            <v:fill on="f" focussize="0,0"/>
            <v:stroke on="f" joinstyle="miter"/>
            <v:imagedata r:id="rId155" o:title=""/>
            <o:lock v:ext="edit" aspectratio="t"/>
            <w10:wrap type="none"/>
            <w10:anchorlock/>
          </v:shape>
          <o:OLEObject Type="Embed" ProgID="Equation.3" ShapeID="_x0000_i1105" DrawAspect="Content" ObjectID="_1468075808" r:id="rId154">
            <o:LockedField>false</o:LockedField>
          </o:OLEObject>
        </w:object>
      </w:r>
    </w:p>
    <w:p>
      <w:pPr>
        <w:tabs>
          <w:tab w:val="left" w:pos="0"/>
        </w:tabs>
        <w:spacing w:after="0" w:line="480" w:lineRule="exact"/>
        <w:ind w:firstLine="600" w:firstLineChars="200"/>
        <w:jc w:val="both"/>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w:t>
      </w:r>
      <w:r>
        <w:rPr>
          <w:rFonts w:hint="eastAsia" w:ascii="仿宋_GB2312" w:hAnsi="仿宋_GB2312" w:eastAsia="仿宋_GB2312" w:cs="仿宋_GB2312"/>
          <w:position w:val="-12"/>
          <w:sz w:val="30"/>
          <w:szCs w:val="30"/>
        </w:rPr>
        <w:object>
          <v:shape id="_x0000_i1106" o:spt="75" type="#_x0000_t75" style="height:22.65pt;width:30pt;" o:ole="t" filled="f" o:preferrelative="t" stroked="f" coordsize="21600,21600">
            <v:path/>
            <v:fill on="f" focussize="0,0"/>
            <v:stroke on="f" joinstyle="miter"/>
            <v:imagedata r:id="rId157" o:title=""/>
            <o:lock v:ext="edit" aspectratio="t"/>
            <w10:wrap type="none"/>
            <w10:anchorlock/>
          </v:shape>
          <o:OLEObject Type="Embed" ProgID="Equation.3" ShapeID="_x0000_i1106" DrawAspect="Content" ObjectID="_1468075809" r:id="rId156">
            <o:LockedField>false</o:LockedField>
          </o:OLEObject>
        </w:object>
      </w:r>
      <w:r>
        <w:rPr>
          <w:rFonts w:hint="eastAsia" w:ascii="仿宋_GB2312" w:eastAsia="仿宋_GB2312"/>
          <w:sz w:val="30"/>
          <w:szCs w:val="30"/>
        </w:rPr>
        <w:t>为（</w:t>
      </w:r>
      <w:r>
        <w:rPr>
          <w:rFonts w:ascii="仿宋_GB2312" w:eastAsia="仿宋_GB2312"/>
          <w:sz w:val="30"/>
          <w:szCs w:val="30"/>
        </w:rPr>
        <w:t>a</w:t>
      </w:r>
      <w:r>
        <w:rPr>
          <w:rFonts w:hint="eastAsia" w:ascii="仿宋_GB2312" w:eastAsia="仿宋_GB2312"/>
          <w:sz w:val="30"/>
          <w:szCs w:val="30"/>
        </w:rPr>
        <w:t>）</w:t>
      </w:r>
      <w:r>
        <w:rPr>
          <w:rFonts w:ascii="仿宋_GB2312" w:eastAsia="仿宋_GB2312"/>
          <w:sz w:val="30"/>
          <w:szCs w:val="30"/>
        </w:rPr>
        <w:t>与</w:t>
      </w:r>
      <w:r>
        <w:rPr>
          <w:rFonts w:hint="eastAsia" w:ascii="仿宋_GB2312" w:eastAsia="仿宋_GB2312"/>
          <w:sz w:val="30"/>
          <w:szCs w:val="30"/>
        </w:rPr>
        <w:t>（b）</w:t>
      </w:r>
      <w:r>
        <w:rPr>
          <w:rFonts w:ascii="仿宋_GB2312" w:eastAsia="仿宋_GB2312"/>
          <w:sz w:val="30"/>
          <w:szCs w:val="30"/>
        </w:rPr>
        <w:t>的比值</w:t>
      </w:r>
      <w:r>
        <w:rPr>
          <w:rFonts w:hint="eastAsia" w:ascii="仿宋_GB2312" w:eastAsia="仿宋_GB2312"/>
          <w:sz w:val="30"/>
          <w:szCs w:val="30"/>
        </w:rPr>
        <w:t>，其中：（</w:t>
      </w:r>
      <w:r>
        <w:rPr>
          <w:rFonts w:ascii="仿宋_GB2312" w:eastAsia="仿宋_GB2312"/>
          <w:sz w:val="30"/>
          <w:szCs w:val="30"/>
        </w:rPr>
        <w:t>a</w:t>
      </w:r>
      <w:r>
        <w:rPr>
          <w:rFonts w:hint="eastAsia" w:ascii="仿宋_GB2312" w:eastAsia="仿宋_GB2312"/>
          <w:sz w:val="30"/>
          <w:szCs w:val="30"/>
        </w:rPr>
        <w:t>）为基础资产按照</w:t>
      </w:r>
      <w:r>
        <w:rPr>
          <w:rFonts w:ascii="仿宋_GB2312" w:eastAsia="仿宋_GB2312"/>
          <w:sz w:val="30"/>
          <w:szCs w:val="30"/>
        </w:rPr>
        <w:t>信用风险</w:t>
      </w:r>
      <w:r>
        <w:rPr>
          <w:rFonts w:hint="eastAsia" w:ascii="仿宋_GB2312" w:eastAsia="仿宋_GB2312"/>
          <w:sz w:val="30"/>
          <w:szCs w:val="30"/>
        </w:rPr>
        <w:t>权重法计算的考虑风险缓释作用后</w:t>
      </w:r>
      <w:r>
        <w:rPr>
          <w:rFonts w:ascii="仿宋_GB2312" w:eastAsia="仿宋_GB2312"/>
          <w:sz w:val="30"/>
          <w:szCs w:val="30"/>
        </w:rPr>
        <w:t>的</w:t>
      </w:r>
      <w:r>
        <w:rPr>
          <w:rFonts w:hint="eastAsia" w:ascii="仿宋_GB2312" w:eastAsia="仿宋_GB2312"/>
          <w:sz w:val="30"/>
          <w:szCs w:val="30"/>
        </w:rPr>
        <w:t>监管资本要求，即基础资产按权重法计量的信用风险加权资产与8%的乘积。（b）基础</w:t>
      </w:r>
      <w:r>
        <w:rPr>
          <w:rFonts w:ascii="仿宋_GB2312" w:eastAsia="仿宋_GB2312"/>
          <w:sz w:val="30"/>
          <w:szCs w:val="30"/>
        </w:rPr>
        <w:t>资产池风险暴露</w:t>
      </w:r>
      <w:r>
        <w:rPr>
          <w:rFonts w:hint="eastAsia" w:ascii="仿宋_GB2312" w:eastAsia="仿宋_GB2312"/>
          <w:sz w:val="30"/>
          <w:szCs w:val="30"/>
        </w:rPr>
        <w:t>（含已提取部分和未提取承诺）。如果商业银行专门针对基础资产池中的资产提取了准备，或资产池中的某些资产是通过不可退款的折扣方式购买的，则（</w:t>
      </w:r>
      <w:r>
        <w:rPr>
          <w:rFonts w:ascii="仿宋_GB2312" w:eastAsia="仿宋_GB2312"/>
          <w:sz w:val="30"/>
          <w:szCs w:val="30"/>
        </w:rPr>
        <w:t>a</w:t>
      </w:r>
      <w:r>
        <w:rPr>
          <w:rFonts w:hint="eastAsia" w:ascii="仿宋_GB2312" w:eastAsia="仿宋_GB2312"/>
          <w:sz w:val="30"/>
          <w:szCs w:val="30"/>
        </w:rPr>
        <w:t>）和（b）应使用扣减该项准备或考虑价格折扣后的风险暴露。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资产证券化交易涉及特殊目的实体</w:t>
      </w:r>
      <w:r>
        <w:rPr>
          <w:rFonts w:ascii="仿宋_GB2312" w:eastAsia="仿宋_GB2312"/>
          <w:sz w:val="30"/>
          <w:szCs w:val="30"/>
        </w:rPr>
        <w:t>时，</w:t>
      </w:r>
      <w:r>
        <w:rPr>
          <w:rFonts w:hint="eastAsia" w:ascii="仿宋_GB2312" w:eastAsia="仿宋_GB2312"/>
          <w:sz w:val="30"/>
          <w:szCs w:val="30"/>
        </w:rPr>
        <w:t>特殊目的实体所有</w:t>
      </w:r>
      <w:r>
        <w:rPr>
          <w:rFonts w:ascii="仿宋_GB2312" w:eastAsia="仿宋_GB2312"/>
          <w:sz w:val="30"/>
          <w:szCs w:val="30"/>
        </w:rPr>
        <w:t>与资产证券化</w:t>
      </w:r>
      <w:r>
        <w:rPr>
          <w:rFonts w:hint="eastAsia" w:ascii="仿宋_GB2312" w:eastAsia="仿宋_GB2312"/>
          <w:sz w:val="30"/>
          <w:szCs w:val="30"/>
        </w:rPr>
        <w:t>交易</w:t>
      </w:r>
      <w:r>
        <w:rPr>
          <w:rFonts w:ascii="仿宋_GB2312" w:eastAsia="仿宋_GB2312"/>
          <w:sz w:val="30"/>
          <w:szCs w:val="30"/>
        </w:rPr>
        <w:t>相关的</w:t>
      </w:r>
      <w:r>
        <w:rPr>
          <w:rFonts w:hint="eastAsia" w:ascii="仿宋_GB2312" w:eastAsia="仿宋_GB2312"/>
          <w:sz w:val="30"/>
          <w:szCs w:val="30"/>
        </w:rPr>
        <w:t>资产都</w:t>
      </w:r>
      <w:r>
        <w:rPr>
          <w:rFonts w:ascii="仿宋_GB2312" w:eastAsia="仿宋_GB2312"/>
          <w:sz w:val="30"/>
          <w:szCs w:val="30"/>
        </w:rPr>
        <w:t>应</w:t>
      </w:r>
      <w:r>
        <w:rPr>
          <w:rFonts w:hint="eastAsia" w:ascii="仿宋_GB2312" w:eastAsia="仿宋_GB2312"/>
          <w:sz w:val="30"/>
          <w:szCs w:val="30"/>
        </w:rPr>
        <w:t>按照</w:t>
      </w:r>
      <w:r>
        <w:rPr>
          <w:rFonts w:ascii="仿宋_GB2312" w:eastAsia="仿宋_GB2312"/>
          <w:sz w:val="30"/>
          <w:szCs w:val="30"/>
        </w:rPr>
        <w:t>基础资产</w:t>
      </w:r>
      <w:r>
        <w:rPr>
          <w:rFonts w:hint="eastAsia" w:ascii="仿宋_GB2312" w:eastAsia="仿宋_GB2312"/>
          <w:sz w:val="30"/>
          <w:szCs w:val="30"/>
        </w:rPr>
        <w:t>处理，包括</w:t>
      </w:r>
      <w:r>
        <w:rPr>
          <w:rFonts w:ascii="仿宋_GB2312" w:eastAsia="仿宋_GB2312"/>
          <w:sz w:val="30"/>
          <w:szCs w:val="30"/>
        </w:rPr>
        <w:t>储备账户、现金抵押账户</w:t>
      </w:r>
      <w:r>
        <w:rPr>
          <w:rFonts w:hint="eastAsia" w:ascii="仿宋_GB2312" w:eastAsia="仿宋_GB2312"/>
          <w:sz w:val="30"/>
          <w:szCs w:val="30"/>
        </w:rPr>
        <w:t>、</w:t>
      </w:r>
      <w:r>
        <w:rPr>
          <w:rFonts w:ascii="仿宋_GB2312" w:eastAsia="仿宋_GB2312"/>
          <w:sz w:val="30"/>
          <w:szCs w:val="30"/>
        </w:rPr>
        <w:t>利率互换或货币互换形成的</w:t>
      </w:r>
      <w:r>
        <w:rPr>
          <w:rFonts w:hint="eastAsia" w:ascii="仿宋_GB2312" w:eastAsia="仿宋_GB2312"/>
          <w:sz w:val="30"/>
          <w:szCs w:val="30"/>
        </w:rPr>
        <w:t>债权等</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对资金来源预置型的合成型交易，如以发行信用联结票据或特殊目的实体</w:t>
      </w:r>
      <w:r>
        <w:rPr>
          <w:rFonts w:ascii="仿宋_GB2312" w:eastAsia="仿宋_GB2312"/>
          <w:sz w:val="30"/>
          <w:szCs w:val="30"/>
        </w:rPr>
        <w:t>的其他</w:t>
      </w:r>
      <w:r>
        <w:rPr>
          <w:rFonts w:hint="eastAsia" w:ascii="仿宋_GB2312" w:eastAsia="仿宋_GB2312"/>
          <w:sz w:val="30"/>
          <w:szCs w:val="30"/>
        </w:rPr>
        <w:t>负债为</w:t>
      </w:r>
      <w:r>
        <w:rPr>
          <w:rFonts w:ascii="仿宋_GB2312" w:eastAsia="仿宋_GB2312"/>
          <w:sz w:val="30"/>
          <w:szCs w:val="30"/>
        </w:rPr>
        <w:t>抵</w:t>
      </w:r>
      <w:r>
        <w:rPr>
          <w:rFonts w:hint="eastAsia" w:ascii="仿宋_GB2312" w:eastAsia="仿宋_GB2312"/>
          <w:sz w:val="30"/>
          <w:szCs w:val="30"/>
        </w:rPr>
        <w:t>质</w:t>
      </w:r>
      <w:r>
        <w:rPr>
          <w:rFonts w:ascii="仿宋_GB2312" w:eastAsia="仿宋_GB2312"/>
          <w:sz w:val="30"/>
          <w:szCs w:val="30"/>
        </w:rPr>
        <w:t>押，且抵</w:t>
      </w:r>
      <w:r>
        <w:rPr>
          <w:rFonts w:hint="eastAsia" w:ascii="仿宋_GB2312" w:eastAsia="仿宋_GB2312"/>
          <w:sz w:val="30"/>
          <w:szCs w:val="30"/>
        </w:rPr>
        <w:t>质</w:t>
      </w:r>
      <w:r>
        <w:rPr>
          <w:rFonts w:ascii="仿宋_GB2312" w:eastAsia="仿宋_GB2312"/>
          <w:sz w:val="30"/>
          <w:szCs w:val="30"/>
        </w:rPr>
        <w:t>押品违约风险</w:t>
      </w:r>
      <w:r>
        <w:rPr>
          <w:rFonts w:hint="eastAsia" w:ascii="仿宋_GB2312" w:eastAsia="仿宋_GB2312"/>
          <w:sz w:val="30"/>
          <w:szCs w:val="30"/>
        </w:rPr>
        <w:t>取决于</w:t>
      </w:r>
      <w:r>
        <w:rPr>
          <w:rFonts w:ascii="仿宋_GB2312" w:eastAsia="仿宋_GB2312"/>
          <w:sz w:val="30"/>
          <w:szCs w:val="30"/>
        </w:rPr>
        <w:t>档次损失分配，应</w:t>
      </w:r>
      <w:r>
        <w:rPr>
          <w:rFonts w:hint="eastAsia" w:ascii="仿宋_GB2312" w:eastAsia="仿宋_GB2312"/>
          <w:sz w:val="30"/>
          <w:szCs w:val="30"/>
        </w:rPr>
        <w:t>纳入</w:t>
      </w:r>
      <w:r>
        <w:rPr>
          <w:rFonts w:hint="eastAsia" w:ascii="仿宋_GB2312" w:hAnsi="仿宋_GB2312" w:eastAsia="仿宋_GB2312" w:cs="仿宋_GB2312"/>
          <w:position w:val="-12"/>
          <w:sz w:val="30"/>
          <w:szCs w:val="30"/>
        </w:rPr>
        <w:object>
          <v:shape id="_x0000_i1107" o:spt="75" type="#_x0000_t75" style="height:22.65pt;width:30pt;" o:ole="t" filled="f" o:preferrelative="t" stroked="f" coordsize="21600,21600">
            <v:path/>
            <v:fill on="f" focussize="0,0"/>
            <v:stroke on="f" joinstyle="miter"/>
            <v:imagedata r:id="rId157" o:title=""/>
            <o:lock v:ext="edit" aspectratio="t"/>
            <w10:wrap type="none"/>
            <w10:anchorlock/>
          </v:shape>
          <o:OLEObject Type="Embed" ProgID="Equation.3" ShapeID="_x0000_i1107" DrawAspect="Content" ObjectID="_1468075810" r:id="rId158">
            <o:LockedField>false</o:LockedField>
          </o:OLEObject>
        </w:object>
      </w:r>
      <w:r>
        <w:rPr>
          <w:rFonts w:hint="eastAsia" w:ascii="仿宋_GB2312" w:eastAsia="仿宋_GB2312"/>
          <w:sz w:val="30"/>
          <w:szCs w:val="30"/>
        </w:rPr>
        <w:t>的计算。</w:t>
      </w:r>
    </w:p>
    <w:p>
      <w:pPr>
        <w:tabs>
          <w:tab w:val="left" w:pos="0"/>
        </w:tabs>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w:t>
      </w:r>
      <w:r>
        <w:rPr>
          <w:rFonts w:hint="eastAsia" w:ascii="仿宋_GB2312" w:eastAsia="仿宋_GB2312"/>
          <w:position w:val="-6"/>
          <w:sz w:val="30"/>
          <w:szCs w:val="30"/>
        </w:rPr>
        <w:object>
          <v:shape id="_x0000_i1108" o:spt="75" type="#_x0000_t75" style="height:10.65pt;width:11.35pt;" o:ole="t" filled="f" o:preferrelative="t" stroked="f" coordsize="21600,21600">
            <v:path/>
            <v:fill on="f" focussize="0,0"/>
            <v:stroke on="f" joinstyle="miter"/>
            <v:imagedata r:id="rId160" o:title=""/>
            <o:lock v:ext="edit" aspectratio="t"/>
            <w10:wrap type="none"/>
            <w10:anchorlock/>
          </v:shape>
          <o:OLEObject Type="Embed" ProgID="Equation.KSEE3" ShapeID="_x0000_i1108" DrawAspect="Content" ObjectID="_1468075811" r:id="rId159">
            <o:LockedField>false</o:LockedField>
          </o:OLEObject>
        </w:object>
      </w:r>
      <w:r>
        <w:rPr>
          <w:rFonts w:hint="eastAsia" w:ascii="仿宋_GB2312" w:eastAsia="仿宋_GB2312"/>
          <w:sz w:val="30"/>
          <w:szCs w:val="30"/>
        </w:rPr>
        <w:t>为基础资产中已逾期风险暴露的名义本金占基础资产池名义本金的比例。已逾期风险暴露</w:t>
      </w:r>
      <w:r>
        <w:rPr>
          <w:rFonts w:ascii="仿宋_GB2312" w:eastAsia="仿宋_GB2312"/>
          <w:sz w:val="30"/>
          <w:szCs w:val="30"/>
        </w:rPr>
        <w:t>指</w:t>
      </w:r>
      <w:r>
        <w:rPr>
          <w:rFonts w:hint="eastAsia" w:ascii="仿宋_GB2312" w:eastAsia="仿宋_GB2312"/>
          <w:sz w:val="30"/>
          <w:szCs w:val="30"/>
        </w:rPr>
        <w:t>以下情形之一：（1）逾期天数超过</w:t>
      </w:r>
      <w:r>
        <w:rPr>
          <w:rFonts w:ascii="仿宋_GB2312" w:eastAsia="仿宋_GB2312"/>
          <w:sz w:val="30"/>
          <w:szCs w:val="30"/>
        </w:rPr>
        <w:t>90天</w:t>
      </w:r>
      <w:r>
        <w:rPr>
          <w:rFonts w:hint="eastAsia" w:ascii="仿宋_GB2312" w:eastAsia="仿宋_GB2312"/>
          <w:sz w:val="30"/>
          <w:szCs w:val="30"/>
        </w:rPr>
        <w:t>；（2）</w:t>
      </w:r>
      <w:r>
        <w:rPr>
          <w:rFonts w:ascii="仿宋_GB2312" w:eastAsia="仿宋_GB2312"/>
          <w:sz w:val="30"/>
          <w:szCs w:val="30"/>
        </w:rPr>
        <w:t>已经破产或处于破产程序中</w:t>
      </w:r>
      <w:r>
        <w:rPr>
          <w:rFonts w:hint="eastAsia" w:ascii="仿宋_GB2312" w:eastAsia="仿宋_GB2312"/>
          <w:sz w:val="30"/>
          <w:szCs w:val="30"/>
        </w:rPr>
        <w:t>；（3）</w:t>
      </w:r>
      <w:r>
        <w:rPr>
          <w:rFonts w:ascii="仿宋_GB2312" w:eastAsia="仿宋_GB2312"/>
          <w:sz w:val="30"/>
          <w:szCs w:val="30"/>
        </w:rPr>
        <w:t>已丧失抵质押品</w:t>
      </w:r>
      <w:r>
        <w:rPr>
          <w:rFonts w:hint="eastAsia" w:ascii="仿宋_GB2312" w:eastAsia="仿宋_GB2312"/>
          <w:sz w:val="30"/>
          <w:szCs w:val="30"/>
        </w:rPr>
        <w:t>处置权；（4）原状分配；（5）发生</w:t>
      </w:r>
      <w:r>
        <w:rPr>
          <w:rFonts w:ascii="仿宋_GB2312" w:eastAsia="仿宋_GB2312"/>
          <w:sz w:val="30"/>
          <w:szCs w:val="30"/>
        </w:rPr>
        <w:t>资产证券化交易</w:t>
      </w:r>
      <w:r>
        <w:rPr>
          <w:rFonts w:hint="eastAsia" w:ascii="仿宋_GB2312" w:eastAsia="仿宋_GB2312"/>
          <w:sz w:val="30"/>
          <w:szCs w:val="30"/>
        </w:rPr>
        <w:t>合同约定</w:t>
      </w:r>
      <w:r>
        <w:rPr>
          <w:rFonts w:ascii="仿宋_GB2312" w:eastAsia="仿宋_GB2312"/>
          <w:sz w:val="30"/>
          <w:szCs w:val="30"/>
        </w:rPr>
        <w:t>的违约</w:t>
      </w:r>
      <w:r>
        <w:rPr>
          <w:rFonts w:hint="eastAsia" w:ascii="仿宋_GB2312" w:eastAsia="仿宋_GB2312"/>
          <w:sz w:val="30"/>
          <w:szCs w:val="30"/>
        </w:rPr>
        <w:t>行为</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如果商业银行“无法判断的逾期风险暴露”不超过</w:t>
      </w:r>
      <w:r>
        <w:rPr>
          <w:rFonts w:ascii="仿宋_GB2312" w:eastAsia="仿宋_GB2312"/>
          <w:sz w:val="30"/>
          <w:szCs w:val="30"/>
        </w:rPr>
        <w:t>5%，</w:t>
      </w:r>
      <w:r>
        <w:rPr>
          <w:rFonts w:hint="eastAsia" w:ascii="仿宋_GB2312" w:eastAsia="仿宋_GB2312"/>
          <w:sz w:val="30"/>
          <w:szCs w:val="30"/>
        </w:rPr>
        <w:t>仍</w:t>
      </w:r>
      <w:r>
        <w:rPr>
          <w:rFonts w:ascii="仿宋_GB2312" w:eastAsia="仿宋_GB2312"/>
          <w:sz w:val="30"/>
          <w:szCs w:val="30"/>
        </w:rPr>
        <w:t>可使用资产证券化标准法，</w:t>
      </w:r>
      <w:r>
        <w:rPr>
          <w:rFonts w:hint="eastAsia" w:ascii="仿宋_GB2312" w:eastAsia="仿宋_GB2312"/>
          <w:sz w:val="30"/>
          <w:szCs w:val="30"/>
        </w:rPr>
        <w:t>但需按下列公式计算</w:t>
      </w:r>
      <w:r>
        <w:rPr>
          <w:rFonts w:hint="eastAsia" w:ascii="仿宋_GB2312" w:hAnsi="仿宋_GB2312" w:eastAsia="仿宋_GB2312" w:cs="仿宋_GB2312"/>
          <w:position w:val="-10"/>
          <w:sz w:val="30"/>
          <w:szCs w:val="30"/>
        </w:rPr>
        <w:object>
          <v:shape id="_x0000_i1109" o:spt="75" type="#_x0000_t75" style="height:21.35pt;width:26pt;" o:ole="t" filled="f" o:preferrelative="t" stroked="f" coordsize="21600,21600">
            <v:path/>
            <v:fill on="f" focussize="0,0"/>
            <v:stroke on="f" joinstyle="miter"/>
            <v:imagedata r:id="rId149" o:title=""/>
            <o:lock v:ext="edit" aspectratio="t"/>
            <w10:wrap type="none"/>
            <w10:anchorlock/>
          </v:shape>
          <o:OLEObject Type="Embed" ProgID="Equation.3" ShapeID="_x0000_i1109" DrawAspect="Content" ObjectID="_1468075812" r:id="rId161">
            <o:LockedField>false</o:LockedField>
          </o:OLEObject>
        </w:object>
      </w:r>
      <w:r>
        <w:rPr>
          <w:rFonts w:hint="eastAsia" w:ascii="仿宋_GB2312" w:eastAsia="仿宋_GB2312"/>
          <w:sz w:val="30"/>
          <w:szCs w:val="30"/>
        </w:rPr>
        <w:t>：</w:t>
      </w:r>
    </w:p>
    <w:p>
      <w:pPr>
        <w:spacing w:after="0" w:line="240" w:lineRule="auto"/>
        <w:jc w:val="both"/>
        <w:rPr>
          <w:rFonts w:ascii="仿宋_GB2312" w:eastAsia="仿宋_GB2312"/>
          <w:sz w:val="30"/>
          <w:szCs w:val="30"/>
        </w:rPr>
      </w:pPr>
      <w:r>
        <w:rPr>
          <w:rFonts w:hint="eastAsia" w:ascii="仿宋_GB2312" w:eastAsia="仿宋_GB2312"/>
          <w:position w:val="-32"/>
          <w:sz w:val="30"/>
          <w:szCs w:val="30"/>
        </w:rPr>
        <w:object>
          <v:shape id="_x0000_i1110" o:spt="75" type="#_x0000_t75" style="height:39.35pt;width:405.35pt;" o:ole="t" filled="f" o:preferrelative="t" stroked="f" coordsize="21600,21600">
            <v:path/>
            <v:fill on="f" focussize="0,0"/>
            <v:stroke on="f" joinstyle="miter"/>
            <v:imagedata r:id="rId163" o:title=""/>
            <o:lock v:ext="edit" aspectratio="t"/>
            <w10:wrap type="none"/>
            <w10:anchorlock/>
          </v:shape>
          <o:OLEObject Type="Embed" ProgID="Equation.3" ShapeID="_x0000_i1110" DrawAspect="Content" ObjectID="_1468075813" r:id="rId162">
            <o:LockedField>false</o:LockedField>
          </o:OLEObject>
        </w:objec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如果商业银行“无法判断的逾期风险暴露”超过</w:t>
      </w:r>
      <w:r>
        <w:rPr>
          <w:rFonts w:ascii="仿宋_GB2312" w:eastAsia="仿宋_GB2312"/>
          <w:sz w:val="30"/>
          <w:szCs w:val="30"/>
        </w:rPr>
        <w:t>5%，</w:t>
      </w:r>
      <w:r>
        <w:rPr>
          <w:rFonts w:hint="eastAsia" w:ascii="仿宋_GB2312" w:eastAsia="仿宋_GB2312"/>
          <w:sz w:val="30"/>
          <w:szCs w:val="30"/>
        </w:rPr>
        <w:t>应采用</w:t>
      </w:r>
      <w:r>
        <w:rPr>
          <w:rFonts w:ascii="仿宋_GB2312" w:eastAsia="仿宋_GB2312"/>
          <w:sz w:val="30"/>
          <w:szCs w:val="30"/>
        </w:rPr>
        <w:t>1250%</w:t>
      </w:r>
      <w:r>
        <w:rPr>
          <w:rFonts w:hint="eastAsia" w:ascii="仿宋_GB2312" w:eastAsia="仿宋_GB2312"/>
          <w:sz w:val="30"/>
          <w:szCs w:val="30"/>
        </w:rPr>
        <w:t>的风险</w:t>
      </w:r>
      <w:r>
        <w:rPr>
          <w:rFonts w:ascii="仿宋_GB2312" w:eastAsia="仿宋_GB2312"/>
          <w:sz w:val="30"/>
          <w:szCs w:val="30"/>
        </w:rPr>
        <w:t>权重。</w:t>
      </w:r>
    </w:p>
    <w:p>
      <w:pPr>
        <w:widowControl w:val="0"/>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（三）</w:t>
      </w:r>
      <w:r>
        <w:rPr>
          <w:rFonts w:hint="eastAsia" w:ascii="仿宋_GB2312" w:hAnsi="仿宋_GB2312" w:eastAsia="仿宋_GB2312" w:cs="仿宋_GB2312"/>
          <w:position w:val="-14"/>
          <w:sz w:val="30"/>
          <w:szCs w:val="30"/>
        </w:rPr>
        <w:object>
          <v:shape id="_x0000_i1111" o:spt="75" type="#_x0000_t75" style="height:23.35pt;width:58pt;" o:ole="t" filled="f" o:preferrelative="t" stroked="f" coordsize="21600,21600">
            <v:path/>
            <v:fill on="f" focussize="0,0"/>
            <v:stroke on="f" joinstyle="miter"/>
            <v:imagedata r:id="rId143" o:title=""/>
            <o:lock v:ext="edit" aspectratio="t"/>
            <w10:wrap type="none"/>
            <w10:anchorlock/>
          </v:shape>
          <o:OLEObject Type="Embed" ProgID="Equation.KSEE3" ShapeID="_x0000_i1111" DrawAspect="Content" ObjectID="_1468075814" r:id="rId164">
            <o:LockedField>false</o:LockedField>
          </o:OLEObject>
        </w:object>
      </w:r>
      <w:r>
        <w:rPr>
          <w:rFonts w:hint="eastAsia" w:ascii="仿宋_GB2312" w:eastAsia="仿宋_GB2312"/>
          <w:sz w:val="30"/>
          <w:szCs w:val="30"/>
        </w:rPr>
        <w:t>为每单位资产证券化风险暴露的资本要求，计算公式如下：</w:t>
      </w:r>
    </w:p>
    <w:p>
      <w:pPr>
        <w:spacing w:after="0" w:line="240" w:lineRule="auto"/>
        <w:jc w:val="center"/>
        <w:rPr>
          <w:rFonts w:ascii="仿宋_GB2312" w:eastAsia="仿宋_GB2312"/>
          <w:sz w:val="30"/>
          <w:szCs w:val="30"/>
        </w:rPr>
      </w:pPr>
      <w:r>
        <w:rPr>
          <w:rFonts w:hint="eastAsia" w:ascii="仿宋_GB2312" w:hAnsi="仿宋_GB2312" w:eastAsia="仿宋_GB2312" w:cs="仿宋_GB2312"/>
          <w:position w:val="-28"/>
          <w:sz w:val="30"/>
          <w:szCs w:val="30"/>
        </w:rPr>
        <w:object>
          <v:shape id="_x0000_i1112" o:spt="75" type="#_x0000_t75" style="height:42.65pt;width:135.35pt;" o:ole="t" filled="f" o:preferrelative="t" stroked="f" coordsize="21600,21600">
            <v:path/>
            <v:fill on="f" focussize="0,0"/>
            <v:stroke on="f" joinstyle="miter"/>
            <v:imagedata r:id="rId166" o:title=""/>
            <o:lock v:ext="edit" aspectratio="t"/>
            <w10:wrap type="none"/>
            <w10:anchorlock/>
          </v:shape>
          <o:OLEObject Type="Embed" ProgID="Equation.3" ShapeID="_x0000_i1112" DrawAspect="Content" ObjectID="_1468075815" r:id="rId165">
            <o:LockedField>false</o:LockedField>
          </o:OLEObject>
        </w:object>
      </w:r>
    </w:p>
    <w:p>
      <w:pPr>
        <w:spacing w:after="0" w:line="480" w:lineRule="exact"/>
        <w:jc w:val="both"/>
        <w:rPr>
          <w:rFonts w:ascii="仿宋_GB2312" w:eastAsia="仿宋_GB2312"/>
          <w:sz w:val="30"/>
          <w:szCs w:val="30"/>
        </w:rPr>
      </w:pPr>
      <w:r>
        <w:rPr>
          <w:rFonts w:hint="eastAsia" w:ascii="仿宋_GB2312" w:eastAsia="仿宋_GB2312"/>
          <w:sz w:val="30"/>
          <w:szCs w:val="30"/>
        </w:rPr>
        <w:t>　　1.常数</w:t>
      </w:r>
      <w:r>
        <w:rPr>
          <w:rFonts w:hint="eastAsia" w:ascii="仿宋_GB2312" w:hAnsi="仿宋_GB2312" w:eastAsia="仿宋_GB2312" w:cs="仿宋_GB2312"/>
          <w:position w:val="-6"/>
          <w:sz w:val="30"/>
          <w:szCs w:val="30"/>
        </w:rPr>
        <w:object>
          <v:shape id="_x0000_i1113" o:spt="75" type="#_x0000_t75" style="height:16pt;width:14pt;" o:ole="t" filled="f" o:preferrelative="t" stroked="f" coordsize="21600,21600">
            <v:path/>
            <v:fill on="f" focussize="0,0"/>
            <v:stroke on="f" joinstyle="miter"/>
            <v:imagedata r:id="rId119" o:title=""/>
            <o:lock v:ext="edit" aspectratio="t"/>
            <w10:wrap type="none"/>
            <w10:anchorlock/>
          </v:shape>
          <o:OLEObject Type="Embed" ProgID="Equation.KSEE3" ShapeID="_x0000_i1113" DrawAspect="Content" ObjectID="_1468075816" r:id="rId167">
            <o:LockedField>false</o:LockedField>
          </o:OLEObject>
        </w:object>
      </w:r>
      <w:r>
        <w:rPr>
          <w:rFonts w:ascii="仿宋_GB2312" w:eastAsia="仿宋_GB2312"/>
          <w:sz w:val="30"/>
          <w:szCs w:val="30"/>
        </w:rPr>
        <w:t>是自然对数的基数(</w:t>
      </w:r>
      <w:r>
        <w:rPr>
          <w:rFonts w:hint="eastAsia" w:ascii="仿宋_GB2312" w:eastAsia="仿宋_GB2312"/>
          <w:sz w:val="30"/>
          <w:szCs w:val="30"/>
        </w:rPr>
        <w:t>约</w:t>
      </w:r>
      <w:r>
        <w:rPr>
          <w:rFonts w:ascii="仿宋_GB2312" w:eastAsia="仿宋_GB2312"/>
          <w:sz w:val="30"/>
          <w:szCs w:val="30"/>
        </w:rPr>
        <w:t>等于2.71828）</w:t>
      </w:r>
      <w:r>
        <w:rPr>
          <w:rFonts w:hint="eastAsia" w:ascii="仿宋_GB2312" w:eastAsia="仿宋_GB2312"/>
          <w:sz w:val="30"/>
          <w:szCs w:val="30"/>
        </w:rPr>
        <w:t>；</w:t>
      </w:r>
    </w:p>
    <w:p>
      <w:pPr>
        <w:spacing w:after="0" w:line="480" w:lineRule="exact"/>
        <w:jc w:val="both"/>
        <w:rPr>
          <w:rFonts w:ascii="仿宋_GB2312" w:eastAsia="仿宋_GB2312"/>
          <w:sz w:val="30"/>
          <w:szCs w:val="30"/>
        </w:rPr>
      </w:pPr>
      <w:r>
        <w:rPr>
          <w:rFonts w:hint="eastAsia" w:ascii="仿宋_GB2312" w:eastAsia="仿宋_GB2312"/>
          <w:sz w:val="30"/>
          <w:szCs w:val="30"/>
        </w:rPr>
        <w:t>　　2.变量</w:t>
      </w:r>
      <w:r>
        <w:rPr>
          <w:rFonts w:hint="eastAsia" w:ascii="仿宋_GB2312" w:hAnsi="仿宋_GB2312" w:eastAsia="仿宋_GB2312" w:cs="仿宋_GB2312"/>
          <w:position w:val="-6"/>
          <w:sz w:val="30"/>
          <w:szCs w:val="30"/>
        </w:rPr>
        <w:object>
          <v:shape id="_x0000_i1114" o:spt="75" type="#_x0000_t75" style="height:16pt;width:15.35pt;" o:ole="t" filled="f" o:preferrelative="t" stroked="f" coordsize="21600,21600">
            <v:path/>
            <v:fill on="f" focussize="0,0"/>
            <v:stroke on="f" joinstyle="miter"/>
            <v:imagedata r:id="rId121" o:title=""/>
            <o:lock v:ext="edit" aspectratio="t"/>
            <w10:wrap type="none"/>
            <w10:anchorlock/>
          </v:shape>
          <o:OLEObject Type="Embed" ProgID="Equation.KSEE3" ShapeID="_x0000_i1114" DrawAspect="Content" ObjectID="_1468075817" r:id="rId168">
            <o:LockedField>false</o:LockedField>
          </o:OLEObject>
        </w:object>
      </w:r>
      <w:r>
        <w:rPr>
          <w:rFonts w:hint="eastAsia" w:ascii="仿宋_GB2312" w:eastAsia="仿宋_GB2312"/>
          <w:sz w:val="30"/>
          <w:szCs w:val="30"/>
        </w:rPr>
        <w:t>，</w:t>
      </w:r>
      <w:r>
        <w:rPr>
          <w:rFonts w:hint="eastAsia" w:ascii="仿宋_GB2312" w:hAnsi="仿宋_GB2312" w:eastAsia="仿宋_GB2312" w:cs="仿宋_GB2312"/>
          <w:position w:val="-6"/>
          <w:sz w:val="30"/>
          <w:szCs w:val="30"/>
        </w:rPr>
        <w:object>
          <v:shape id="_x0000_i1115" o:spt="75" type="#_x0000_t75" style="height:16pt;width:15.35pt;" o:ole="t" filled="f" o:preferrelative="t" stroked="f" coordsize="21600,21600">
            <v:path/>
            <v:fill on="f" focussize="0,0"/>
            <v:stroke on="f" joinstyle="miter"/>
            <v:imagedata r:id="rId123" o:title=""/>
            <o:lock v:ext="edit" aspectratio="t"/>
            <w10:wrap type="none"/>
            <w10:anchorlock/>
          </v:shape>
          <o:OLEObject Type="Embed" ProgID="Equation.KSEE3" ShapeID="_x0000_i1115" DrawAspect="Content" ObjectID="_1468075818" r:id="rId169">
            <o:LockedField>false</o:LockedField>
          </o:OLEObject>
        </w:object>
      </w:r>
      <w:r>
        <w:rPr>
          <w:rFonts w:ascii="仿宋_GB2312" w:eastAsia="仿宋_GB2312"/>
          <w:sz w:val="30"/>
          <w:szCs w:val="30"/>
        </w:rPr>
        <w:t>和</w:t>
      </w:r>
      <w:r>
        <w:rPr>
          <w:rFonts w:hint="eastAsia" w:ascii="仿宋_GB2312" w:hAnsi="仿宋_GB2312" w:eastAsia="仿宋_GB2312" w:cs="仿宋_GB2312"/>
          <w:position w:val="-6"/>
          <w:sz w:val="30"/>
          <w:szCs w:val="30"/>
        </w:rPr>
        <w:object>
          <v:shape id="_x0000_i1116" o:spt="75" type="#_x0000_t75" style="height:20pt;width:10pt;" o:ole="t" filled="f" o:preferrelative="t" stroked="f" coordsize="21600,21600">
            <v:path/>
            <v:fill on="f" focussize="0,0"/>
            <v:stroke on="f" joinstyle="miter"/>
            <v:imagedata r:id="rId125" o:title=""/>
            <o:lock v:ext="edit" aspectratio="t"/>
            <w10:wrap type="none"/>
            <w10:anchorlock/>
          </v:shape>
          <o:OLEObject Type="Embed" ProgID="Equation.KSEE3" ShapeID="_x0000_i1116" DrawAspect="Content" ObjectID="_1468075819" r:id="rId170">
            <o:LockedField>false</o:LockedField>
          </o:OLEObject>
        </w:object>
      </w:r>
      <w:r>
        <w:rPr>
          <w:rFonts w:hint="eastAsia" w:ascii="仿宋_GB2312" w:eastAsia="仿宋_GB2312"/>
          <w:sz w:val="30"/>
          <w:szCs w:val="30"/>
        </w:rPr>
        <w:t>的计算公式为：</w:t>
      </w:r>
    </w:p>
    <w:p>
      <w:pPr>
        <w:spacing w:after="0" w:line="240" w:lineRule="auto"/>
        <w:ind w:firstLine="2850" w:firstLineChars="950"/>
        <w:jc w:val="both"/>
        <w:rPr>
          <w:rFonts w:ascii="仿宋_GB2312" w:eastAsia="仿宋_GB2312"/>
          <w:sz w:val="30"/>
          <w:szCs w:val="30"/>
        </w:rPr>
      </w:pPr>
      <w:r>
        <w:rPr>
          <w:rFonts w:hint="eastAsia" w:ascii="仿宋_GB2312" w:hAnsi="仿宋_GB2312" w:eastAsia="仿宋_GB2312" w:cs="仿宋_GB2312"/>
          <w:position w:val="-10"/>
          <w:sz w:val="30"/>
          <w:szCs w:val="30"/>
        </w:rPr>
        <w:object>
          <v:shape id="_x0000_i1117" o:spt="75" type="#_x0000_t75" style="height:20pt;width:101.35pt;" o:ole="t" filled="f" o:preferrelative="t" stroked="f" coordsize="21600,21600">
            <v:path/>
            <v:fill on="f" focussize="0,0"/>
            <v:stroke on="f" joinstyle="miter"/>
            <v:imagedata r:id="rId172" o:title=""/>
            <o:lock v:ext="edit" aspectratio="t"/>
            <w10:wrap type="none"/>
            <w10:anchorlock/>
          </v:shape>
          <o:OLEObject Type="Embed" ProgID="Equation.KSEE3" ShapeID="_x0000_i1117" DrawAspect="Content" ObjectID="_1468075820" r:id="rId171">
            <o:LockedField>false</o:LockedField>
          </o:OLEObject>
        </w:object>
      </w:r>
    </w:p>
    <w:p>
      <w:pPr>
        <w:spacing w:after="0" w:line="240" w:lineRule="auto"/>
        <w:ind w:firstLine="2850" w:firstLineChars="950"/>
        <w:jc w:val="both"/>
        <w:rPr>
          <w:rFonts w:ascii="仿宋_GB2312" w:hAnsi="仿宋_GB2312" w:eastAsia="仿宋_GB2312" w:cs="仿宋_GB2312"/>
          <w:sz w:val="30"/>
          <w:szCs w:val="30"/>
        </w:rPr>
      </w:pPr>
      <w:r>
        <w:rPr>
          <w:rFonts w:hint="eastAsia" w:ascii="仿宋_GB2312" w:hAnsi="仿宋_GB2312" w:eastAsia="仿宋_GB2312" w:cs="仿宋_GB2312"/>
          <w:position w:val="-10"/>
          <w:sz w:val="30"/>
          <w:szCs w:val="30"/>
        </w:rPr>
        <w:object>
          <v:shape id="_x0000_i1118" o:spt="75" type="#_x0000_t75" style="height:22.65pt;width:73.35pt;" o:ole="t" filled="f" o:preferrelative="t" stroked="f" coordsize="21600,21600">
            <v:path/>
            <v:fill on="f" focussize="0,0"/>
            <v:stroke on="f" joinstyle="miter"/>
            <v:imagedata r:id="rId174" o:title=""/>
            <o:lock v:ext="edit" aspectratio="t"/>
            <w10:wrap type="none"/>
            <w10:anchorlock/>
          </v:shape>
          <o:OLEObject Type="Embed" ProgID="Equation.KSEE3" ShapeID="_x0000_i1118" DrawAspect="Content" ObjectID="_1468075821" r:id="rId173">
            <o:LockedField>false</o:LockedField>
          </o:OLEObject>
        </w:object>
      </w:r>
    </w:p>
    <w:p>
      <w:pPr>
        <w:spacing w:after="0" w:line="240" w:lineRule="auto"/>
        <w:ind w:firstLine="2850" w:firstLineChars="950"/>
        <w:jc w:val="both"/>
        <w:rPr>
          <w:rFonts w:ascii="仿宋_GB2312" w:eastAsia="仿宋_GB2312"/>
          <w:sz w:val="30"/>
          <w:szCs w:val="30"/>
          <w:lang w:val="pt-BR"/>
        </w:rPr>
      </w:pPr>
      <m:oMathPara>
        <m:oMath>
          <m:r>
            <m:rPr/>
            <w:rPr>
              <w:rFonts w:ascii="Cambria Math" w:hAnsi="Cambria Math" w:eastAsia="仿宋_GB2312"/>
              <w:sz w:val="30"/>
              <w:szCs w:val="30"/>
              <w:lang w:val="pt-BR"/>
            </w:rPr>
            <m:t>l</m:t>
          </m:r>
          <m:r>
            <m:rPr/>
            <w:rPr>
              <w:rFonts w:hint="eastAsia" w:ascii="Cambria Math" w:hAnsi="Cambria Math" w:eastAsia="仿宋_GB2312"/>
              <w:sz w:val="30"/>
              <w:szCs w:val="30"/>
              <w:lang w:val="pt-BR"/>
            </w:rPr>
            <m:t>=</m:t>
          </m:r>
          <m:r>
            <m:rPr/>
            <w:rPr>
              <w:rFonts w:ascii="Cambria Math" w:hAnsi="Cambria Math" w:eastAsia="仿宋_GB2312"/>
              <w:sz w:val="30"/>
              <w:szCs w:val="30"/>
              <w:lang w:val="pt-BR"/>
            </w:rPr>
            <m:t>max</m:t>
          </m:r>
          <m:r>
            <m:rPr>
              <m:sty m:val="p"/>
            </m:rPr>
            <w:rPr>
              <w:rFonts w:ascii="Cambria Math" w:hAnsi="Cambria Math" w:eastAsia="仿宋_GB2312"/>
              <w:sz w:val="30"/>
              <w:szCs w:val="30"/>
              <w:lang w:val="pt-BR"/>
            </w:rPr>
            <m:t>⁡</m:t>
          </m:r>
          <m:r>
            <m:rPr/>
            <w:rPr>
              <w:rFonts w:ascii="Cambria Math" w:hAnsi="Cambria Math" w:eastAsia="仿宋_GB2312"/>
              <w:sz w:val="30"/>
              <w:szCs w:val="30"/>
              <w:lang w:val="pt-BR"/>
            </w:rPr>
            <m:t>(A−</m:t>
          </m:r>
          <m:sSub>
            <m:sSubPr>
              <m:ctrlPr>
                <w:rPr>
                  <w:rFonts w:ascii="Cambria Math" w:hAnsi="Cambria Math" w:eastAsia="仿宋_GB2312"/>
                  <w:i/>
                  <w:sz w:val="30"/>
                  <w:szCs w:val="30"/>
                  <w:lang w:val="pt-BR"/>
                </w:rPr>
              </m:ctrlPr>
            </m:sSubPr>
            <m:e>
              <m:r>
                <m:rPr/>
                <w:rPr>
                  <w:rFonts w:ascii="Cambria Math" w:hAnsi="Cambria Math" w:eastAsia="仿宋_GB2312"/>
                  <w:sz w:val="30"/>
                  <w:szCs w:val="30"/>
                  <w:lang w:val="pt-BR"/>
                </w:rPr>
                <m:t>K</m:t>
              </m:r>
              <m:ctrlPr>
                <w:rPr>
                  <w:rFonts w:ascii="Cambria Math" w:hAnsi="Cambria Math" w:eastAsia="仿宋_GB2312"/>
                  <w:i/>
                  <w:sz w:val="30"/>
                  <w:szCs w:val="30"/>
                  <w:lang w:val="pt-BR"/>
                </w:rPr>
              </m:ctrlPr>
            </m:e>
            <m:sub>
              <m:r>
                <m:rPr/>
                <w:rPr>
                  <w:rFonts w:ascii="Cambria Math" w:hAnsi="Cambria Math" w:eastAsia="仿宋_GB2312"/>
                  <w:sz w:val="30"/>
                  <w:szCs w:val="30"/>
                  <w:lang w:val="pt-BR"/>
                </w:rPr>
                <m:t>A</m:t>
              </m:r>
              <m:ctrlPr>
                <w:rPr>
                  <w:rFonts w:ascii="Cambria Math" w:hAnsi="Cambria Math" w:eastAsia="仿宋_GB2312"/>
                  <w:i/>
                  <w:sz w:val="30"/>
                  <w:szCs w:val="30"/>
                  <w:lang w:val="pt-BR"/>
                </w:rPr>
              </m:ctrlPr>
            </m:sub>
          </m:sSub>
          <m:r>
            <m:rPr/>
            <w:rPr>
              <w:rFonts w:ascii="Cambria Math" w:hAnsi="Cambria Math" w:eastAsia="仿宋_GB2312"/>
              <w:sz w:val="30"/>
              <w:szCs w:val="30"/>
              <w:lang w:val="pt-BR"/>
            </w:rPr>
            <m:t>,0)</m:t>
          </m:r>
        </m:oMath>
      </m:oMathPara>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其中，</w:t>
      </w:r>
      <w:r>
        <w:rPr>
          <w:rFonts w:ascii="仿宋_GB2312" w:eastAsia="仿宋_GB2312"/>
          <w:sz w:val="30"/>
          <w:szCs w:val="30"/>
        </w:rPr>
        <w:t>监管因子</w:t>
      </w:r>
      <w:r>
        <w:rPr>
          <w:rFonts w:hint="eastAsia" w:ascii="仿宋_GB2312" w:hAnsi="仿宋_GB2312" w:eastAsia="仿宋_GB2312" w:cs="仿宋_GB2312"/>
          <w:position w:val="-10"/>
          <w:sz w:val="30"/>
          <w:szCs w:val="30"/>
        </w:rPr>
        <w:object>
          <v:shape id="_x0000_i1119" o:spt="75" type="#_x0000_t75" style="height:18.65pt;width:18.65pt;" o:ole="t" filled="f" o:preferrelative="t" stroked="f" coordsize="21600,21600">
            <v:path/>
            <v:fill on="f" focussize="0,0"/>
            <v:stroke on="f" joinstyle="miter"/>
            <v:imagedata r:id="rId59" o:title=""/>
            <o:lock v:ext="edit" aspectratio="t"/>
            <w10:wrap type="none"/>
            <w10:anchorlock/>
          </v:shape>
          <o:OLEObject Type="Embed" ProgID="Equation.KSEE3" ShapeID="_x0000_i1119" DrawAspect="Content" ObjectID="_1468075822" r:id="rId175">
            <o:LockedField>false</o:LockedField>
          </o:OLEObject>
        </w:object>
      </w:r>
      <w:r>
        <w:rPr>
          <w:rFonts w:ascii="仿宋_GB2312" w:eastAsia="仿宋_GB2312"/>
          <w:sz w:val="30"/>
          <w:szCs w:val="30"/>
        </w:rPr>
        <w:t>等于1</w:t>
      </w:r>
      <w:r>
        <w:rPr>
          <w:rFonts w:hint="eastAsia" w:ascii="仿宋_GB2312" w:eastAsia="仿宋_GB2312"/>
          <w:sz w:val="30"/>
          <w:szCs w:val="30"/>
        </w:rPr>
        <w:t>，符合“</w:t>
      </w:r>
      <w:r>
        <w:rPr>
          <w:rFonts w:ascii="仿宋_GB2312" w:eastAsia="仿宋_GB2312"/>
          <w:sz w:val="30"/>
          <w:szCs w:val="30"/>
        </w:rPr>
        <w:t>简单、透明、可比</w:t>
      </w:r>
      <w:r>
        <w:rPr>
          <w:rFonts w:hint="eastAsia" w:ascii="仿宋_GB2312" w:eastAsia="仿宋_GB2312"/>
          <w:sz w:val="30"/>
          <w:szCs w:val="30"/>
        </w:rPr>
        <w:t>”标准的风险暴露，监管因子</w:t>
      </w:r>
      <w:r>
        <w:rPr>
          <w:rFonts w:hint="eastAsia" w:ascii="仿宋_GB2312" w:hAnsi="仿宋_GB2312" w:eastAsia="仿宋_GB2312" w:cs="仿宋_GB2312"/>
          <w:position w:val="-10"/>
          <w:sz w:val="30"/>
          <w:szCs w:val="30"/>
        </w:rPr>
        <w:object>
          <v:shape id="_x0000_i1120" o:spt="75" type="#_x0000_t75" style="height:18.65pt;width:18.65pt;" o:ole="t" filled="f" o:preferrelative="t" stroked="f" coordsize="21600,21600">
            <v:path/>
            <v:fill on="f" focussize="0,0"/>
            <v:stroke on="f" joinstyle="miter"/>
            <v:imagedata r:id="rId59" o:title=""/>
            <o:lock v:ext="edit" aspectratio="t"/>
            <w10:wrap type="none"/>
            <w10:anchorlock/>
          </v:shape>
          <o:OLEObject Type="Embed" ProgID="Equation.KSEE3" ShapeID="_x0000_i1120" DrawAspect="Content" ObjectID="_1468075823" r:id="rId176">
            <o:LockedField>false</o:LockedField>
          </o:OLEObject>
        </w:object>
      </w:r>
      <w:r>
        <w:rPr>
          <w:rFonts w:ascii="仿宋_GB2312" w:eastAsia="仿宋_GB2312"/>
          <w:sz w:val="30"/>
          <w:szCs w:val="30"/>
        </w:rPr>
        <w:t>等于0.5</w:t>
      </w:r>
      <w:r>
        <w:rPr>
          <w:rFonts w:hint="eastAsia" w:ascii="仿宋_GB2312" w:eastAsia="仿宋_GB2312"/>
          <w:sz w:val="30"/>
          <w:szCs w:val="30"/>
        </w:rPr>
        <w:t>。</w:t>
      </w:r>
    </w:p>
    <w:p>
      <w:pPr>
        <w:spacing w:after="0" w:line="480" w:lineRule="exact"/>
        <w:ind w:firstLine="600" w:firstLineChars="200"/>
        <w:jc w:val="both"/>
        <w:rPr>
          <w:rFonts w:ascii="黑体" w:eastAsia="黑体"/>
          <w:b/>
          <w:sz w:val="30"/>
          <w:szCs w:val="30"/>
        </w:rPr>
      </w:pPr>
      <w:r>
        <w:rPr>
          <w:rFonts w:hint="eastAsia" w:ascii="仿宋_GB2312" w:eastAsia="仿宋_GB2312"/>
          <w:sz w:val="30"/>
          <w:szCs w:val="30"/>
        </w:rPr>
        <w:t>（四）市场风险对冲工具（如汇率互换或利率互换）可使用与其偿付顺序相同的资产证券化档次所对应的风险权重。如果没有相同档次，则使用低一档次所对应的风险权重。</w:t>
      </w:r>
    </w:p>
    <w:p>
      <w:pPr>
        <w:pStyle w:val="3"/>
        <w:ind w:left="0" w:leftChars="0"/>
      </w:pPr>
      <w:r>
        <w:rPr>
          <w:rFonts w:hint="eastAsia"/>
        </w:rPr>
        <w:t>六、特定处理</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（一）资产证券化交易合同中含有清仓回购条款的，在符合下列条件的情况下，发起机构可以不为清仓回购计量资本：</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1.发起机构有权决定是否进行清仓回购，清仓回购的行使无论在形式还是实质上都不是强制性的。</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2.清仓回购安排不会免除信用增级机构或者资产支持证券投资机构理应承担的损失，也不会被用来提供信用增级。</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3.对于传统型资产证券化交易，只有在资产池或者以该资产池为基础发行的资产支持证券余额降至资产池或者资产支持证券初始金额的10%或者10%以下时，才能进行清仓回购。</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4.对于合成型资产证券化交易，只有在参考资产的价值降至初始金额的10%或者10%以下时，才能进行清仓回购。</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在上述1至4项条件中任何一项不符合的情况下，对于传统型资产证券化交易，发起机构应当按照资产证券化前的资本要求计量资本，而且不能在监管资本中计入销售利得。对于合成型资产证券化交易，发起机构在计量资产证券化基础资产监管资本时不得认可信用风险缓释工具的信用风险缓释作用。如果合成型资产证券化交易包含赎回权，而且该赎回权在特定时间终止证券化交易及其所购买的信用保护，发起机构应当按照本附件第二部分第（十）条期限错配的规定计量资本。</w:t>
      </w:r>
    </w:p>
    <w:p>
      <w:pPr>
        <w:widowControl w:val="0"/>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二）如果资产证券化交易基础资产池中包含一项或多项循环信用便利，且存在如下提前摊还条款之一时，则不符合第一部分第（五）条传统型交易风险真实转移或第（六）条合成型交易合格风险缓释的要求。此处提前摊还条款指：</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1.提前摊还将降低商业银行在基础资产池的循环信用便利中的优先受益权顺序；</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.将更大幅度地降低商业银行的次级受益权顺序；</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.以其他方式增加循环便利承担商业银行的风险暴露。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如果资产证券化交易包含如下循环便利结构下的提前摊还规定，且满足第一部分第（五）条传统型交易风险真实转移或第（六）条合成型交易合格风险缓释的相关条件时，发起机构无需为该资产证券化交易相关的基础风险暴露计量资本，但仍需为其留持的资产证券化风险暴露计量资本。此处提前摊还规定指：</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1.当基础资产不能循环且提前摊还不会使商业银行增加新的风险暴露时，设有其他补充机制。</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2.证券化交易的基础资产池虽然具有循环特征，但证券化交易的提前摊还安排导致其具有定期贷款性质，使发起机构无需承担基础资产的风险，且循环信用便利的提前摊还条款不会降低发起机构的受益权顺序。</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3.即使发生提前摊还，资产支持证券投资机构仍然完全承担循环额度借款人未来动用融资额度的风险。</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4.提前摊还的触发机制与证券化交易的基础资产或发起机构无关。</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（三）商业银行以超过合同义务的方式为资产证券化交易提供隐性支持的，应当按照基础资产证券化之前的资本要求计量资本，而且应当公开披露所提供的隐性支持及其对监管资本要求的影响。</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商业银行提供隐性支持的方式包括但不限于以下情形：</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以高于市场价格的方式从资产池赎回部分资产，或赎回资产池中信用质量下降的资产，但发起机构按照有关规定，因基础资产被发现在初始起算日不符合信托合同约定的范围、种类、标准和状况而被要求赎回或置换的情况除外。</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2.以打折的方式向资产池再次注入资产。</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3.增加合同约定之外的第一损失责任。</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4.所行使的清仓回购被认定为用作提供信用增级。</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四）如果任何情况下，商业银行承担了某项风险暴露的损失后，将不再承担另一项风险暴露的损失，则这两项风险暴露可以认定为重叠风险暴露。如果商业银行能够证明存在重叠风险暴露，则只需按照重叠部分的最高值计量监管资本，无需重复计量。如果重叠风险暴露为商业银行银行账簿和交易账簿之间的重叠，且商业银行能够计算和比较相关风险暴露的资本要求，同样适用以上处理。</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商业银行计量重叠风险暴露的资本要求时，可在以下两种方法中选择：（1）将其中一项风险暴露拆分成与另一项风险暴露重叠的部分和不重叠的部分；（2）假设其中一项风险暴露的偿付义务超过合同义务（如扩大风险暴露的触发事件或偿付义务的范围），使得商业银行承担该项风险暴露的损失后，将不再承担另一项风险暴露的损失。</w:t>
      </w:r>
    </w:p>
    <w:p>
      <w:pPr>
        <w:spacing w:after="0" w:line="480" w:lineRule="exact"/>
        <w:ind w:firstLine="600" w:firstLineChars="200"/>
        <w:jc w:val="both"/>
        <w:rPr>
          <w:rFonts w:ascii="仿宋_GB2312"/>
          <w:b/>
          <w:sz w:val="30"/>
          <w:szCs w:val="30"/>
        </w:rPr>
      </w:pPr>
      <w:r>
        <w:rPr>
          <w:rFonts w:hint="eastAsia" w:ascii="仿宋_GB2312" w:eastAsia="仿宋_GB2312"/>
          <w:sz w:val="30"/>
          <w:szCs w:val="30"/>
        </w:rPr>
        <w:t>（五）再资产证券化指基础资产池中包含资产证券化风险暴露的资产证券化交易。再资产证券化风险暴露应采用资产证券化标准法计量资本要求，并进行以下调整：（1）对基础资产池中的资产证券化风险暴露，应按照资产证券化相关规定计量资本要求。（2）计量再资产证券化的资本要求时，逾期比例</w:t>
      </w:r>
      <w:r>
        <w:rPr>
          <w:rFonts w:hint="eastAsia" w:ascii="仿宋_GB2312" w:hAnsi="仿宋_GB2312" w:eastAsia="仿宋_GB2312" w:cs="仿宋_GB2312"/>
          <w:position w:val="-6"/>
          <w:sz w:val="30"/>
          <w:szCs w:val="30"/>
        </w:rPr>
        <w:object>
          <v:shape id="_x0000_i1121" o:spt="75" type="#_x0000_t75" style="height:16pt;width:18.65pt;" o:ole="t" filled="f" o:preferrelative="t" stroked="f" coordsize="21600,21600">
            <v:path/>
            <v:fill on="f" focussize="0,0"/>
            <v:stroke on="f" joinstyle="miter"/>
            <v:imagedata r:id="rId178" o:title=""/>
            <o:lock v:ext="edit" aspectratio="t"/>
            <w10:wrap type="none"/>
            <w10:anchorlock/>
          </v:shape>
          <o:OLEObject Type="Embed" ProgID="Equation.KSEE3" ShapeID="_x0000_i1121" DrawAspect="Content" ObjectID="_1468075824" r:id="rId177">
            <o:LockedField>false</o:LockedField>
          </o:OLEObject>
        </w:object>
      </w:r>
      <w:r>
        <w:rPr>
          <w:rFonts w:hint="eastAsia" w:ascii="仿宋_GB2312" w:eastAsia="仿宋_GB2312"/>
          <w:sz w:val="30"/>
          <w:szCs w:val="30"/>
        </w:rPr>
        <w:t>应为</w:t>
      </w:r>
      <w:r>
        <w:rPr>
          <w:rFonts w:ascii="仿宋_GB2312" w:eastAsia="仿宋_GB2312"/>
          <w:sz w:val="30"/>
          <w:szCs w:val="30"/>
        </w:rPr>
        <w:t>0</w:t>
      </w:r>
      <w:r>
        <w:rPr>
          <w:rFonts w:hint="eastAsia" w:ascii="仿宋_GB2312" w:eastAsia="仿宋_GB2312"/>
          <w:sz w:val="30"/>
          <w:szCs w:val="30"/>
        </w:rPr>
        <w:t>，监管因子</w:t>
      </w:r>
      <w:r>
        <w:rPr>
          <w:rFonts w:hint="eastAsia" w:ascii="仿宋_GB2312" w:hAnsi="仿宋_GB2312" w:eastAsia="仿宋_GB2312" w:cs="仿宋_GB2312"/>
          <w:position w:val="-10"/>
          <w:sz w:val="30"/>
          <w:szCs w:val="30"/>
        </w:rPr>
        <w:object>
          <v:shape id="_x0000_i1122" o:spt="75" type="#_x0000_t75" style="height:18.65pt;width:18.65pt;" o:ole="t" filled="f" o:preferrelative="t" stroked="f" coordsize="21600,21600">
            <v:path/>
            <v:fill on="f" focussize="0,0"/>
            <v:stroke on="f" joinstyle="miter"/>
            <v:imagedata r:id="rId59" o:title=""/>
            <o:lock v:ext="edit" aspectratio="t"/>
            <w10:wrap type="none"/>
            <w10:anchorlock/>
          </v:shape>
          <o:OLEObject Type="Embed" ProgID="Equation.KSEE3" ShapeID="_x0000_i1122" DrawAspect="Content" ObjectID="_1468075825" r:id="rId179">
            <o:LockedField>false</o:LockedField>
          </o:OLEObject>
        </w:object>
      </w:r>
      <w:r>
        <w:rPr>
          <w:rFonts w:hint="eastAsia" w:ascii="仿宋_GB2312" w:eastAsia="仿宋_GB2312"/>
          <w:sz w:val="30"/>
          <w:szCs w:val="30"/>
        </w:rPr>
        <w:t>应为</w:t>
      </w:r>
      <w:r>
        <w:rPr>
          <w:rFonts w:ascii="仿宋_GB2312" w:eastAsia="仿宋_GB2312"/>
          <w:sz w:val="30"/>
          <w:szCs w:val="30"/>
        </w:rPr>
        <w:t>1.5</w:t>
      </w:r>
      <w:r>
        <w:rPr>
          <w:rFonts w:hint="eastAsia" w:ascii="仿宋_GB2312" w:eastAsia="仿宋_GB2312"/>
          <w:sz w:val="30"/>
          <w:szCs w:val="30"/>
        </w:rPr>
        <w:t>。（3）如果基础资产池同时包含资产证券化风险暴露和其他风险暴露，则应区分基础资产后再分别计算</w:t>
      </w:r>
      <w:r>
        <w:rPr>
          <w:rFonts w:hint="eastAsia" w:ascii="仿宋_GB2312" w:hAnsi="仿宋_GB2312" w:eastAsia="仿宋_GB2312" w:cs="仿宋_GB2312"/>
          <w:position w:val="-10"/>
          <w:sz w:val="30"/>
          <w:szCs w:val="30"/>
        </w:rPr>
        <w:object>
          <v:shape id="_x0000_i1123" o:spt="75" type="#_x0000_t75" style="height:21.35pt;width:26pt;" o:ole="t" filled="f" o:preferrelative="t" stroked="f" coordsize="21600,21600">
            <v:path/>
            <v:fill on="f" focussize="0,0"/>
            <v:stroke on="f" joinstyle="miter"/>
            <v:imagedata r:id="rId149" o:title=""/>
            <o:lock v:ext="edit" aspectratio="t"/>
            <w10:wrap type="none"/>
            <w10:anchorlock/>
          </v:shape>
          <o:OLEObject Type="Embed" ProgID="Equation.3" ShapeID="_x0000_i1123" DrawAspect="Content" ObjectID="_1468075826" r:id="rId180">
            <o:LockedField>false</o:LockedField>
          </o:OLEObject>
        </w:object>
      </w:r>
      <w:r>
        <w:rPr>
          <w:rFonts w:hint="eastAsia" w:ascii="仿宋_GB2312" w:eastAsia="仿宋_GB2312"/>
          <w:sz w:val="30"/>
          <w:szCs w:val="30"/>
        </w:rPr>
        <w:t>，并按名义本金加权计算合计风险加权资产。（4）再资产证券化风险暴露的风险权重下限为</w:t>
      </w:r>
      <w:r>
        <w:rPr>
          <w:rFonts w:ascii="仿宋_GB2312" w:eastAsia="仿宋_GB2312"/>
          <w:sz w:val="30"/>
          <w:szCs w:val="30"/>
        </w:rPr>
        <w:t>100%，</w:t>
      </w:r>
      <w:r>
        <w:rPr>
          <w:rFonts w:hint="eastAsia" w:ascii="仿宋_GB2312" w:eastAsia="仿宋_GB2312"/>
          <w:sz w:val="30"/>
          <w:szCs w:val="30"/>
        </w:rPr>
        <w:t>且</w:t>
      </w:r>
      <w:r>
        <w:rPr>
          <w:rFonts w:ascii="仿宋_GB2312" w:eastAsia="仿宋_GB2312"/>
          <w:sz w:val="30"/>
          <w:szCs w:val="30"/>
        </w:rPr>
        <w:t>不受</w:t>
      </w:r>
      <w:r>
        <w:rPr>
          <w:rFonts w:hint="eastAsia" w:ascii="仿宋_GB2312" w:eastAsia="仿宋_GB2312"/>
          <w:sz w:val="30"/>
          <w:szCs w:val="30"/>
        </w:rPr>
        <w:t>资本要求</w:t>
      </w:r>
      <w:r>
        <w:rPr>
          <w:rFonts w:ascii="仿宋_GB2312" w:eastAsia="仿宋_GB2312"/>
          <w:sz w:val="30"/>
          <w:szCs w:val="30"/>
        </w:rPr>
        <w:t>上限约束。</w:t>
      </w:r>
    </w:p>
    <w:p>
      <w:pPr>
        <w:pStyle w:val="3"/>
        <w:ind w:left="0" w:leftChars="0"/>
      </w:pPr>
      <w:r>
        <w:rPr>
          <w:rFonts w:hint="eastAsia"/>
        </w:rPr>
        <w:t>七、名词解释</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一）“资金来源预置型信用衍生工具”是指在发生信用违约事件时，信用保护购买机构对于因获得信用保护而有权获取的资金或者资产，可以自行通过扣押、处置、转让等方式进行处理而获得赔偿。信用保护购买机构持有用于信用保护的抵质押资产或发行信用联结票据属于此种情形。</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（二）“资金来源非预置型信用衍生工具”是指在发生信用违约事件时，信用保护购买机构只能依赖信用保护提供机构履行承诺而获得赔偿。保证和信用违约互换属于此种情形。</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（三）“流动性便利”是指在基础资产的实际本息收取与资产支持证券的正常本息偿付暂时不匹配的情况下，由商业银行提供的一种短期融资，以确保投资者能按时、足额收取资产支持证券的本金和利息。</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四）“分档次抵补”是指对于某一风险暴露，商业银行向信用保护提供方转移一部分风险，同时保留一部分风险，而转移部分和保留部分处于不同档次的情形。在这种情况下，商业银行所获得的信用保护既可以是针对较高档次的，也可以是针对较低档次的。</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（五）“现金抵押账户”是指资产证券化交易中的一种内部信用增级方式。现金抵押账户资金由发起机构提供或者来源于其他金融机构的贷款，用于弥补资产证券化业务活动中可能产生的损失。</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六）“利差账户”是指资产证券化交易中的一种内部信用增级方式。利差账户资金来源于资产利息收入和其他证券化交易收入减去资产支持证券利息支出和其他证券化交易费用之后所形成的超额利差，用于弥补资产证券化业务活动中可能产生的损失。</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（七）“销售利得”是指商业银行因从事资产证券化交易而导致的所有者权益的增加额。</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（八）“第一损失责任”是指资产证券化交易参与机构最先承担的资产池损失责任，为该参与机构向资产证券化交易其他参与机构所提供的首要财务支持或者风险保护。</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九）“清仓回购”是指在资产池资产或者资产支持证券全部偿还之前，发起机构赎回资产证券化风险暴露的一种选择权。对于传统型资产证券化交易，清仓回购的通常做法是在资产池或者资产支持证券余额降至一定的水平之后，由发起机构赎回剩余的资产证券化风险暴露；对于合成型资产证券化交易，清仓回购通常是指提前终止信用保护。</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十）“服务机构现金透支便利”是指由贷款服务机构提供的一种短期垫款或者融资，包括但不限于垫付清收费用、抵质押品相关费用以按时收回基础资产的本金和利息，从而使投资者能按时、足额收取资产支持证券的本金和利息。</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（十一）“提前摊还”是指在资产证券化相关法律文件中事先规定的机制被触发时，投资机构将在事先规定的资产支持证券到期日之前得到偿还。</w:t>
      </w:r>
    </w:p>
    <w:p>
      <w:pPr>
        <w:pStyle w:val="71"/>
        <w:widowControl w:val="0"/>
        <w:spacing w:after="0" w:line="480" w:lineRule="exact"/>
        <w:ind w:left="0" w:firstLine="600" w:firstLineChars="200"/>
        <w:jc w:val="both"/>
        <w:rPr>
          <w:rFonts w:ascii="仿宋_GB2312" w:eastAsia="仿宋_GB2312"/>
          <w:sz w:val="30"/>
          <w:szCs w:val="30"/>
        </w:rPr>
      </w:pPr>
      <w:bookmarkStart w:id="2" w:name="_Hlk498329215"/>
      <w:r>
        <w:rPr>
          <w:rFonts w:hint="eastAsia" w:ascii="仿宋_GB2312" w:eastAsia="仿宋_GB2312"/>
          <w:sz w:val="30"/>
          <w:szCs w:val="30"/>
        </w:rPr>
        <w:t>（十二）“特殊目的实体</w:t>
      </w:r>
      <w:bookmarkEnd w:id="2"/>
      <w:r>
        <w:rPr>
          <w:rFonts w:hint="eastAsia" w:ascii="仿宋_GB2312" w:eastAsia="仿宋_GB2312"/>
          <w:sz w:val="30"/>
          <w:szCs w:val="30"/>
        </w:rPr>
        <w:t xml:space="preserve">”是指为特殊目的而组织的公司、信托或其他实体。其核心意义为将特殊目的实体与资产证券化发起机构的信用风险分离出来。 </w:t>
      </w:r>
    </w:p>
    <w:p>
      <w:pPr>
        <w:pStyle w:val="3"/>
        <w:ind w:left="0" w:leftChars="0"/>
      </w:pPr>
      <w:r>
        <w:rPr>
          <w:rFonts w:hint="eastAsia"/>
        </w:rPr>
        <w:t>八、“简单、透明、可比”标准</w:t>
      </w:r>
    </w:p>
    <w:p>
      <w:pPr>
        <w:pStyle w:val="71"/>
        <w:widowControl w:val="0"/>
        <w:spacing w:after="0" w:line="480" w:lineRule="exact"/>
        <w:ind w:left="0" w:firstLine="600" w:firstLineChars="200"/>
        <w:jc w:val="both"/>
        <w:rPr>
          <w:rFonts w:ascii="仿宋_GB2312" w:eastAsia="仿宋_GB2312"/>
          <w:sz w:val="30"/>
          <w:szCs w:val="30"/>
        </w:rPr>
      </w:pPr>
      <w:r>
        <w:rPr>
          <w:rFonts w:hint="eastAsia" w:ascii="仿宋_GB2312" w:eastAsia="仿宋_GB2312"/>
          <w:sz w:val="30"/>
          <w:szCs w:val="30"/>
        </w:rPr>
        <w:t>符合以下条件的传统型资产证券化风险暴露可认为满足“简单、透明、可比”标准，资产支持商业票据除外。</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（一）基础资产应为同质性债权或应收账款。评估同质性时，应考虑资产类型、所在国家或地区、法律制度和资产币种等因素，并按以下原则评估：</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.基础资产应具有同质的法律风险和信用风险，能极大地减轻投资者风险分析和尽职调查的难度；</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.同质性评估应覆盖常见的风险要素；</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.基础资产在还款、</w:t>
      </w:r>
      <w:r>
        <w:rPr>
          <w:rFonts w:ascii="仿宋_GB2312" w:eastAsia="仿宋_GB2312"/>
          <w:sz w:val="30"/>
          <w:szCs w:val="30"/>
        </w:rPr>
        <w:t>收益</w:t>
      </w:r>
      <w:r>
        <w:rPr>
          <w:rFonts w:hint="eastAsia" w:ascii="仿宋_GB2312" w:eastAsia="仿宋_GB2312"/>
          <w:sz w:val="30"/>
          <w:szCs w:val="30"/>
        </w:rPr>
        <w:t>等方面</w:t>
      </w:r>
      <w:r>
        <w:rPr>
          <w:rFonts w:ascii="仿宋_GB2312" w:eastAsia="仿宋_GB2312"/>
          <w:sz w:val="30"/>
          <w:szCs w:val="30"/>
        </w:rPr>
        <w:t>应具有标准</w:t>
      </w:r>
      <w:r>
        <w:rPr>
          <w:rFonts w:hint="eastAsia" w:ascii="仿宋_GB2312" w:eastAsia="仿宋_GB2312"/>
          <w:sz w:val="30"/>
          <w:szCs w:val="30"/>
        </w:rPr>
        <w:t>化要求</w:t>
      </w:r>
      <w:r>
        <w:rPr>
          <w:rFonts w:ascii="仿宋_GB2312" w:eastAsia="仿宋_GB2312"/>
          <w:sz w:val="30"/>
          <w:szCs w:val="30"/>
        </w:rPr>
        <w:t>，确保投资者</w:t>
      </w:r>
      <w:r>
        <w:rPr>
          <w:rFonts w:hint="eastAsia" w:ascii="仿宋_GB2312" w:eastAsia="仿宋_GB2312"/>
          <w:sz w:val="30"/>
          <w:szCs w:val="30"/>
        </w:rPr>
        <w:t>具有稳定、</w:t>
      </w:r>
      <w:r>
        <w:rPr>
          <w:rFonts w:ascii="仿宋_GB2312" w:eastAsia="仿宋_GB2312"/>
          <w:sz w:val="30"/>
          <w:szCs w:val="30"/>
        </w:rPr>
        <w:t>明确</w:t>
      </w:r>
      <w:r>
        <w:rPr>
          <w:rFonts w:hint="eastAsia" w:ascii="仿宋_GB2312" w:eastAsia="仿宋_GB2312"/>
          <w:sz w:val="30"/>
          <w:szCs w:val="30"/>
        </w:rPr>
        <w:t>的收益</w:t>
      </w:r>
      <w:r>
        <w:rPr>
          <w:rFonts w:ascii="仿宋_GB2312" w:eastAsia="仿宋_GB2312"/>
          <w:sz w:val="30"/>
          <w:szCs w:val="30"/>
        </w:rPr>
        <w:t>来源</w: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4.投资者的收益主要来源于基础资产所产生的本金和利息。</w:t>
      </w:r>
    </w:p>
    <w:p>
      <w:pPr>
        <w:spacing w:after="0" w:line="480" w:lineRule="exact"/>
        <w:ind w:firstLine="600" w:firstLineChars="200"/>
        <w:jc w:val="both"/>
        <w:rPr>
          <w:rFonts w:ascii="仿宋_GB2312" w:eastAsia="仿宋_GB2312"/>
          <w:sz w:val="30"/>
          <w:szCs w:val="30"/>
        </w:rPr>
      </w:pPr>
      <w:r>
        <w:rPr>
          <w:rFonts w:ascii="仿宋_GB2312" w:eastAsia="仿宋_GB2312"/>
          <w:sz w:val="30"/>
          <w:szCs w:val="30"/>
        </w:rPr>
        <w:t>资产证券化交易</w:t>
      </w:r>
      <w:r>
        <w:rPr>
          <w:rFonts w:hint="eastAsia" w:ascii="仿宋_GB2312" w:eastAsia="仿宋_GB2312"/>
          <w:sz w:val="30"/>
          <w:szCs w:val="30"/>
        </w:rPr>
        <w:t>的参考利率或贴现率应为常见市场利率，不应涉及复杂公式或金融衍生工具。“常见市场利率”包括存贷款利率、贷款市场报价利率、同业拆借利率、银行资金成本利率。支持基础资产具有同质性的证明信息应对外公开披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二）资产证券化产品应公开披露基础资产的相关损失数据（包括逾期和违约数据）、数据来源和数据获取方式，以支持投资者进行尽职调查并估计不同压力情景下的预期损失。披露数据所覆盖的时间跨度应足够长。对</w:t>
      </w:r>
      <w:r>
        <w:rPr>
          <w:rFonts w:ascii="仿宋_GB2312" w:eastAsia="仿宋_GB2312"/>
          <w:sz w:val="30"/>
          <w:szCs w:val="30"/>
        </w:rPr>
        <w:t>非零售风险暴露</w:t>
      </w:r>
      <w:r>
        <w:rPr>
          <w:rFonts w:hint="eastAsia" w:ascii="仿宋_GB2312" w:eastAsia="仿宋_GB2312"/>
          <w:sz w:val="30"/>
          <w:szCs w:val="30"/>
        </w:rPr>
        <w:t>，历史表现数据</w:t>
      </w:r>
      <w:r>
        <w:rPr>
          <w:rFonts w:ascii="仿宋_GB2312" w:eastAsia="仿宋_GB2312"/>
          <w:sz w:val="30"/>
          <w:szCs w:val="30"/>
        </w:rPr>
        <w:t>应</w:t>
      </w:r>
      <w:r>
        <w:rPr>
          <w:rFonts w:hint="eastAsia" w:ascii="仿宋_GB2312" w:eastAsia="仿宋_GB2312"/>
          <w:sz w:val="30"/>
          <w:szCs w:val="30"/>
        </w:rPr>
        <w:t>不少于</w:t>
      </w:r>
      <w:r>
        <w:rPr>
          <w:rFonts w:ascii="仿宋_GB2312" w:eastAsia="仿宋_GB2312"/>
          <w:sz w:val="30"/>
          <w:szCs w:val="30"/>
        </w:rPr>
        <w:t>7年</w:t>
      </w:r>
      <w:r>
        <w:rPr>
          <w:rFonts w:hint="eastAsia" w:ascii="仿宋_GB2312" w:eastAsia="仿宋_GB2312"/>
          <w:sz w:val="30"/>
          <w:szCs w:val="30"/>
        </w:rPr>
        <w:t>，对</w:t>
      </w:r>
      <w:r>
        <w:rPr>
          <w:rFonts w:ascii="仿宋_GB2312" w:eastAsia="仿宋_GB2312"/>
          <w:sz w:val="30"/>
          <w:szCs w:val="30"/>
        </w:rPr>
        <w:t>零售风险暴露，</w:t>
      </w:r>
      <w:r>
        <w:rPr>
          <w:rFonts w:hint="eastAsia" w:ascii="仿宋_GB2312" w:eastAsia="仿宋_GB2312"/>
          <w:sz w:val="30"/>
          <w:szCs w:val="30"/>
        </w:rPr>
        <w:t>历史表现数据</w:t>
      </w:r>
      <w:r>
        <w:rPr>
          <w:rFonts w:ascii="仿宋_GB2312" w:eastAsia="仿宋_GB2312"/>
          <w:sz w:val="30"/>
          <w:szCs w:val="30"/>
        </w:rPr>
        <w:t>应</w:t>
      </w:r>
      <w:r>
        <w:rPr>
          <w:rFonts w:hint="eastAsia" w:ascii="仿宋_GB2312" w:eastAsia="仿宋_GB2312"/>
          <w:sz w:val="30"/>
          <w:szCs w:val="30"/>
        </w:rPr>
        <w:t>不少于</w:t>
      </w:r>
      <w:r>
        <w:rPr>
          <w:rFonts w:ascii="仿宋_GB2312" w:eastAsia="仿宋_GB2312"/>
          <w:sz w:val="30"/>
          <w:szCs w:val="30"/>
        </w:rPr>
        <w:t>5年。</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投资者必须确认资产证券化交易发起机构、代理机构和服务机构具备从事类似交易的长期经验。</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（三）基础资产在入池时不得存在下列情形：1.违约；2.逾期；3.已有证据表明预期损失将明显增加；4.将被采取强制执行措施。</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发起机构或代理机构应在基础资产初始起算日确保基础资产符合下列条件：</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1.债务人在初始起算日前三年内不存在因财务困难而破产或债务重组的情况；</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2.债务人在公开信用记录中无不良记录；</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3.信用评估表明,债务人的违约风险不显著；</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4.债务人与原债权人之间无纠纷；</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5.基础资产入池时应已至少完成一次还款，采用循环购买结构的(如信用卡应收账款、贸易应收账款）和到期一次性付款的资产除外。</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（四）所有入池的基础资产必须在债务人还款意愿和还款能力等方面</w:t>
      </w:r>
      <w:r>
        <w:rPr>
          <w:rFonts w:ascii="仿宋_GB2312" w:eastAsia="仿宋_GB2312"/>
          <w:sz w:val="30"/>
          <w:szCs w:val="30"/>
        </w:rPr>
        <w:t>符合</w:t>
      </w:r>
      <w:r>
        <w:rPr>
          <w:rFonts w:hint="eastAsia" w:ascii="仿宋_GB2312" w:eastAsia="仿宋_GB2312"/>
          <w:sz w:val="30"/>
          <w:szCs w:val="30"/>
        </w:rPr>
        <w:t>合格标准，合格标准在产品存续期间不得降低。发起机构如调整合格标准，应披露调整的具体时间和目的，并向投资者证明合格标准未发生实质性降低，确保标准变化不影响基础资产质量。合格标准的严格程度不应低于资产负债表内承接的债权和应收账款标准。</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当基础资产从第三方获得时，发起机构或代理机构应对第三方的基础资产选择标准进行审查，</w:t>
      </w:r>
      <w:r>
        <w:rPr>
          <w:rFonts w:ascii="仿宋_GB2312" w:eastAsia="仿宋_GB2312"/>
          <w:sz w:val="30"/>
          <w:szCs w:val="30"/>
        </w:rPr>
        <w:t>确保第三方</w:t>
      </w:r>
      <w:r>
        <w:rPr>
          <w:rFonts w:hint="eastAsia" w:ascii="仿宋_GB2312" w:eastAsia="仿宋_GB2312"/>
          <w:sz w:val="30"/>
          <w:szCs w:val="30"/>
        </w:rPr>
        <w:t>已对</w:t>
      </w:r>
      <w:r>
        <w:rPr>
          <w:rFonts w:ascii="仿宋_GB2312" w:eastAsia="仿宋_GB2312"/>
          <w:sz w:val="30"/>
          <w:szCs w:val="30"/>
        </w:rPr>
        <w:t>债务人</w:t>
      </w:r>
      <w:r>
        <w:rPr>
          <w:rFonts w:hint="eastAsia" w:ascii="仿宋_GB2312" w:eastAsia="仿宋_GB2312"/>
          <w:sz w:val="30"/>
          <w:szCs w:val="30"/>
        </w:rPr>
        <w:t>的还款意愿和还款能力进行评估并符合合格标准</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（五）资产证券化交易不得通过选择和调换基础资产来提升业绩。基础资产封包后入池的资产不应主动选择、管理或挑选。投资者应能够掌握基础资产信用风险信息，以支持其投资决策。</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按照真实销售原则，基础资产应当满足以下条件，并由独立的第三方出具法律意见</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1.发起机构应声明和保证债务人</w:t>
      </w:r>
      <w:r>
        <w:rPr>
          <w:rFonts w:ascii="仿宋_GB2312" w:eastAsia="仿宋_GB2312"/>
          <w:sz w:val="30"/>
          <w:szCs w:val="30"/>
        </w:rPr>
        <w:t>可</w:t>
      </w:r>
      <w:r>
        <w:rPr>
          <w:rFonts w:hint="eastAsia" w:ascii="仿宋_GB2312" w:eastAsia="仿宋_GB2312"/>
          <w:sz w:val="30"/>
          <w:szCs w:val="30"/>
        </w:rPr>
        <w:t>被</w:t>
      </w:r>
      <w:r>
        <w:rPr>
          <w:rFonts w:ascii="仿宋_GB2312" w:eastAsia="仿宋_GB2312"/>
          <w:sz w:val="30"/>
          <w:szCs w:val="30"/>
        </w:rPr>
        <w:t>执行</w: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2.基础资产不受发起机构、发起机构的</w:t>
      </w:r>
      <w:r>
        <w:rPr>
          <w:rFonts w:ascii="仿宋_GB2312" w:eastAsia="仿宋_GB2312"/>
          <w:sz w:val="30"/>
          <w:szCs w:val="30"/>
        </w:rPr>
        <w:t>债权人或清算人</w:t>
      </w:r>
      <w:r>
        <w:rPr>
          <w:rFonts w:hint="eastAsia" w:ascii="仿宋_GB2312" w:eastAsia="仿宋_GB2312"/>
          <w:sz w:val="30"/>
          <w:szCs w:val="30"/>
        </w:rPr>
        <w:t>控制或影响，且不会被重新定性或取回；</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3.未</w:t>
      </w:r>
      <w:r>
        <w:rPr>
          <w:rFonts w:ascii="仿宋_GB2312" w:eastAsia="仿宋_GB2312"/>
          <w:sz w:val="30"/>
          <w:szCs w:val="30"/>
        </w:rPr>
        <w:t>通过信用违约互换、衍生产品或担保进行证券化</w: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基础资产不是其他资产证券化产品。</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六）在合法合规的前提下，资产证券化产品定价及发行前，需要向潜在投资者披露逐笔贷款数据。如果资产池非常分散，无法披露逐笔数据，则应充分提供资产池多维度的分类汇总数据，充分反映基础资产风险特征。产品存续期间,应至少按季度向投资者提供投资者报告，披露以上</w:t>
      </w:r>
      <w:r>
        <w:rPr>
          <w:rFonts w:ascii="仿宋_GB2312" w:eastAsia="仿宋_GB2312"/>
          <w:sz w:val="30"/>
          <w:szCs w:val="30"/>
        </w:rPr>
        <w:t>数据</w:t>
      </w:r>
      <w:r>
        <w:rPr>
          <w:rFonts w:hint="eastAsia"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此外，应由独立第三方审阅基础资产信息披露的准确性，以及基础资产是否符合合格标准等。</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七）除基础资产足够分散且还款分布足够分散的情况外，资产证券化产品偿付不应依赖于基础资产出售或再融资。基础资产出售或再融资产生的本金现金流不能参与证券化产品偿付，但该类本金再投资产生的收益可用于偿付。</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八）资产证券化的资产和负债存在利率或币种错配的，相应利率或汇率风险应持续得到“适当缓释”。“适当缓释”不强制要求完全对冲。任何已实施的对冲交易应根据行业标准主协议进行记录存档。使用衍生工具对冲利率或汇率风险，必须为真实的风险对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产品存续期间，资产证券化产品应及时、定期向投资者或潜在投资者披露风险缓释措施相关信息，包括对冲部分的名义金额、压力情景下对冲有效性的敏感性分析等定量信息，以证明相关措施合理适当。</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非衍生工具缓释工具仅允许对冲单一风险，不允许同时对冲多种风险</w:t>
      </w:r>
      <w:r>
        <w:rPr>
          <w:rFonts w:ascii="仿宋_GB2312" w:eastAsia="仿宋_GB2312"/>
          <w:sz w:val="30"/>
          <w:szCs w:val="30"/>
        </w:rPr>
        <w:t>(如信用和利率风险）</w:t>
      </w:r>
      <w:r>
        <w:rPr>
          <w:rFonts w:hint="eastAsia" w:ascii="仿宋_GB2312" w:eastAsia="仿宋_GB2312"/>
          <w:sz w:val="30"/>
          <w:szCs w:val="30"/>
        </w:rPr>
        <w:t>。此类缓释工具</w:t>
      </w:r>
      <w:r>
        <w:rPr>
          <w:rFonts w:ascii="仿宋_GB2312" w:eastAsia="仿宋_GB2312"/>
          <w:sz w:val="30"/>
          <w:szCs w:val="30"/>
        </w:rPr>
        <w:t>不得加杠杆，且</w:t>
      </w:r>
      <w:r>
        <w:rPr>
          <w:rFonts w:hint="eastAsia" w:ascii="仿宋_GB2312" w:eastAsia="仿宋_GB2312"/>
          <w:sz w:val="30"/>
          <w:szCs w:val="30"/>
        </w:rPr>
        <w:t>必须随时有效</w:t>
      </w:r>
      <w:r>
        <w:rPr>
          <w:rFonts w:ascii="仿宋_GB2312" w:eastAsia="仿宋_GB2312"/>
          <w:sz w:val="30"/>
          <w:szCs w:val="30"/>
        </w:rPr>
        <w:t>。</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九）资产证券化产品发行时应预先规定各种情况下的支付优先顺序，且相关安排的可执行性受法律保护。产品存续期间，非优先档次的支付顺序不能先于到期应付的优先档次，同一基础资产池支持多个资产证券化产品的同样适用本要求。</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任何有关现金流瀑布、现金流分配、支付优先顺序的变动都应在发行文件和投资者报告中充分披露。投资者报告应清晰陈述目前是否发生以上事件、事件是否有可能恢复以及事件可能产生的后果。投资者报告还应持续披露以上事件涉及的相关量化指标，使投资者能够持续关注并监测数据变化。如果在付款日期之间发生以上事件，也应及时向投资者披露。</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对于具有循环购买结构的资产证券化，应规定提前摊还和</w:t>
      </w:r>
      <w:r>
        <w:rPr>
          <w:rFonts w:ascii="仿宋_GB2312" w:eastAsia="仿宋_GB2312"/>
          <w:sz w:val="30"/>
          <w:szCs w:val="30"/>
        </w:rPr>
        <w:t>/或循环</w:t>
      </w:r>
      <w:r>
        <w:rPr>
          <w:rFonts w:hint="eastAsia" w:ascii="仿宋_GB2312" w:eastAsia="仿宋_GB2312"/>
          <w:sz w:val="30"/>
          <w:szCs w:val="30"/>
        </w:rPr>
        <w:t>购买</w:t>
      </w:r>
      <w:r>
        <w:rPr>
          <w:rFonts w:ascii="仿宋_GB2312" w:eastAsia="仿宋_GB2312"/>
          <w:sz w:val="30"/>
          <w:szCs w:val="30"/>
        </w:rPr>
        <w:t>终止的触发</w:t>
      </w:r>
      <w:r>
        <w:rPr>
          <w:rFonts w:hint="eastAsia" w:ascii="仿宋_GB2312" w:eastAsia="仿宋_GB2312"/>
          <w:sz w:val="30"/>
          <w:szCs w:val="30"/>
        </w:rPr>
        <w:t>事件</w:t>
      </w:r>
      <w:r>
        <w:rPr>
          <w:rFonts w:ascii="仿宋_GB2312" w:eastAsia="仿宋_GB2312"/>
          <w:sz w:val="30"/>
          <w:szCs w:val="30"/>
        </w:rPr>
        <w:t>，包括</w:t>
      </w:r>
      <w:r>
        <w:rPr>
          <w:rFonts w:hint="eastAsia" w:ascii="仿宋_GB2312" w:eastAsia="仿宋_GB2312"/>
          <w:sz w:val="30"/>
          <w:szCs w:val="30"/>
        </w:rPr>
        <w:t>但不限于</w:t>
      </w:r>
      <w:r>
        <w:rPr>
          <w:rFonts w:ascii="仿宋_GB2312" w:eastAsia="仿宋_GB2312"/>
          <w:sz w:val="30"/>
          <w:szCs w:val="30"/>
        </w:rPr>
        <w:t>：</w:t>
      </w:r>
      <w:r>
        <w:rPr>
          <w:rFonts w:hint="eastAsia" w:ascii="仿宋_GB2312" w:eastAsia="仿宋_GB2312"/>
          <w:sz w:val="30"/>
          <w:szCs w:val="30"/>
        </w:rPr>
        <w:t>1.</w:t>
      </w:r>
      <w:r>
        <w:rPr>
          <w:rFonts w:ascii="仿宋_GB2312" w:eastAsia="仿宋_GB2312"/>
          <w:sz w:val="30"/>
          <w:szCs w:val="30"/>
        </w:rPr>
        <w:t>基础资产信用质量恶化；</w:t>
      </w:r>
      <w:r>
        <w:rPr>
          <w:rFonts w:hint="eastAsia" w:ascii="仿宋_GB2312" w:eastAsia="仿宋_GB2312"/>
          <w:sz w:val="30"/>
          <w:szCs w:val="30"/>
        </w:rPr>
        <w:t>2.</w:t>
      </w:r>
      <w:r>
        <w:rPr>
          <w:rFonts w:ascii="仿宋_GB2312" w:eastAsia="仿宋_GB2312"/>
          <w:sz w:val="30"/>
          <w:szCs w:val="30"/>
        </w:rPr>
        <w:t>未能获得足够的具有类似信用质量的新基础资产；</w:t>
      </w:r>
      <w:r>
        <w:rPr>
          <w:rFonts w:hint="eastAsia" w:ascii="仿宋_GB2312" w:eastAsia="仿宋_GB2312"/>
          <w:sz w:val="30"/>
          <w:szCs w:val="30"/>
        </w:rPr>
        <w:t>3.</w:t>
      </w:r>
      <w:r>
        <w:rPr>
          <w:rFonts w:ascii="仿宋_GB2312" w:eastAsia="仿宋_GB2312"/>
          <w:sz w:val="30"/>
          <w:szCs w:val="30"/>
        </w:rPr>
        <w:t>发起</w:t>
      </w:r>
      <w:r>
        <w:rPr>
          <w:rFonts w:hint="eastAsia" w:ascii="仿宋_GB2312" w:eastAsia="仿宋_GB2312"/>
          <w:sz w:val="30"/>
          <w:szCs w:val="30"/>
        </w:rPr>
        <w:t>机构</w:t>
      </w:r>
      <w:r>
        <w:rPr>
          <w:rFonts w:ascii="仿宋_GB2312" w:eastAsia="仿宋_GB2312"/>
          <w:sz w:val="30"/>
          <w:szCs w:val="30"/>
        </w:rPr>
        <w:t>或服务</w:t>
      </w:r>
      <w:r>
        <w:rPr>
          <w:rFonts w:hint="eastAsia" w:ascii="仿宋_GB2312" w:eastAsia="仿宋_GB2312"/>
          <w:sz w:val="30"/>
          <w:szCs w:val="30"/>
        </w:rPr>
        <w:t>机构</w:t>
      </w:r>
      <w:r>
        <w:rPr>
          <w:rFonts w:ascii="仿宋_GB2312" w:eastAsia="仿宋_GB2312"/>
          <w:sz w:val="30"/>
          <w:szCs w:val="30"/>
        </w:rPr>
        <w:t>发生破产。</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当违约事件或加速清偿事件发生时，证券化产品应按照档次的优先顺序进行偿还，但发行文件中不得含有此情形下基础资产可按市场价值立即清算的条款。</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在资产证券化产品发行前及存续期间，发起机构或代理机构应向投资者提供产品现金流模型，或提供与现金流有关的充足信息，使投资者能够对证券化产品的现金流瀑布建模。</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为使投资者能够有效识别基础资产可能出现的债务减免、展期、还款宽限等情况，发行文件还应明确与基础资产拖欠、违约和债务人重组有关的定义、政策、流程及补救措施。</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为确保资产证券化产品投资者在发行机构或代理机构破产时，能够及时控制和执行基础资产，所有与基础资产有关的投票权和执行权应转移给资产证券化产品。资产证券化产品发行条款中，需明确界定不同档次投资者在各种情况下的权利。</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（十一）在合法合规的前提下，资产证券化产品应向投资者提供初始发行文件及与基础资产相关的协议文件</w:t>
      </w:r>
      <w:r>
        <w:rPr>
          <w:rFonts w:ascii="仿宋_GB2312" w:eastAsia="仿宋_GB2312"/>
          <w:sz w:val="30"/>
          <w:szCs w:val="30"/>
        </w:rPr>
        <w:t>，</w:t>
      </w:r>
      <w:r>
        <w:rPr>
          <w:rFonts w:hint="eastAsia" w:ascii="仿宋_GB2312" w:eastAsia="仿宋_GB2312"/>
          <w:sz w:val="30"/>
          <w:szCs w:val="30"/>
        </w:rPr>
        <w:t>以确保</w:t>
      </w:r>
      <w:r>
        <w:rPr>
          <w:rFonts w:ascii="仿宋_GB2312" w:eastAsia="仿宋_GB2312"/>
          <w:sz w:val="30"/>
          <w:szCs w:val="30"/>
        </w:rPr>
        <w:t>投资</w:t>
      </w:r>
      <w:r>
        <w:rPr>
          <w:rFonts w:hint="eastAsia" w:ascii="仿宋_GB2312" w:eastAsia="仿宋_GB2312"/>
          <w:sz w:val="30"/>
          <w:szCs w:val="30"/>
        </w:rPr>
        <w:t>者可充分了解产品的</w:t>
      </w:r>
      <w:r>
        <w:rPr>
          <w:rFonts w:ascii="仿宋_GB2312" w:eastAsia="仿宋_GB2312"/>
          <w:sz w:val="30"/>
          <w:szCs w:val="30"/>
        </w:rPr>
        <w:t>法律</w:t>
      </w:r>
      <w:r>
        <w:rPr>
          <w:rFonts w:hint="eastAsia" w:ascii="仿宋_GB2312" w:eastAsia="仿宋_GB2312"/>
          <w:sz w:val="30"/>
          <w:szCs w:val="30"/>
        </w:rPr>
        <w:t>信息</w:t>
      </w:r>
      <w:r>
        <w:rPr>
          <w:rFonts w:ascii="仿宋_GB2312" w:eastAsia="仿宋_GB2312"/>
          <w:sz w:val="30"/>
          <w:szCs w:val="30"/>
        </w:rPr>
        <w:t>、商业信息和</w:t>
      </w:r>
      <w:r>
        <w:rPr>
          <w:rFonts w:hint="eastAsia" w:ascii="仿宋_GB2312" w:eastAsia="仿宋_GB2312"/>
          <w:sz w:val="30"/>
          <w:szCs w:val="30"/>
        </w:rPr>
        <w:t>各类</w:t>
      </w:r>
      <w:r>
        <w:rPr>
          <w:rFonts w:ascii="仿宋_GB2312" w:eastAsia="仿宋_GB2312"/>
          <w:sz w:val="30"/>
          <w:szCs w:val="30"/>
        </w:rPr>
        <w:t>风险。</w:t>
      </w:r>
      <w:r>
        <w:rPr>
          <w:rFonts w:hint="eastAsia" w:ascii="仿宋_GB2312" w:eastAsia="仿宋_GB2312"/>
          <w:sz w:val="30"/>
          <w:szCs w:val="30"/>
        </w:rPr>
        <w:t>最终发行文件及基础资产相关的协议应在产品发行日之前向投资者提供。所有披露文件应易于获取、理解和使用。</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发行前，所有披露文件应由独立第三方审阅。如果文件内容出现任何变化，可能对产品结构产生影响，应确保投资者及时知悉。</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（十二）为确保基础资产发起方或支持方与证券化产品投资者的利益一致，发起机构或代理机构应自留部分产品敞口，以确保未来基础资产的表现与发起机构或代理机构存在利益关联。</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三）所有服务机构应在基础资产服务方面具有专业性，具有行业经验丰富的管理、执行团队。服务机构应持续遵守合理审慎的行为规范。针对产品的服务政策、流程和风险管控机制应有书面规范，符合良好的市场实践，符合相关监管制度，有完善的信息系统和报告机制。服务机构为非银行机构的，其信息系统和报告机制应由独立第三方进行评估。资产证券化产品应向各类服务机构支付合理的报酬，使其能够全面持续履行职责。</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有受托责任的服务机构，即受托机构，应履行保护资产证券化投资者利益的责任，证明其具有托管资产证券化产品的充分能力和资源。发行文件和所有相关文件中还应明确，在法律允许的范围内，受托机构应及时处理并解决不同档次投资者可能产生的利益冲突。</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四）为确保投资者充分掌握资产证券化产品内容以开展尽职调查，避免投资者收入和服务受意外事件影响，发行文件和所有相关文件应明确规定资产证券化所有关键方的全部义务和责任，包括受托机构和各类服务机构。文件还应明确包含，在资产证券化任何交易对手出现无法履约、破产或信用恶化事件时，替换相关服务机构、资金保管机构、衍生工具合约交易对手和流动性提供机构的相关条款。</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为提高资产证券化产品收入支出信息和账目的透明度，投资者报告中应详细披露资产证券化的全部收入和支出，包括但不限于：应收本金、实收本金、应收利息、实收利息、逾期利息及相关税费、债务逾期、违约或债务重组所涉及的金额、本金和利息欠款的分类账目准确金额。</w:t>
      </w:r>
    </w:p>
    <w:p>
      <w:pPr>
        <w:spacing w:after="0" w:line="480" w:lineRule="exact"/>
        <w:ind w:firstLine="600" w:firstLineChars="200"/>
        <w:jc w:val="both"/>
        <w:rPr>
          <w:rFonts w:ascii="仿宋_GB2312" w:eastAsia="仿宋_GB2312"/>
          <w:sz w:val="30"/>
          <w:szCs w:val="30"/>
        </w:rPr>
      </w:pPr>
      <w:r>
        <w:rPr>
          <w:rFonts w:hint="eastAsia" w:ascii="仿宋_GB2312" w:eastAsia="仿宋_GB2312"/>
          <w:sz w:val="30"/>
          <w:szCs w:val="30"/>
        </w:rPr>
        <w:t>（十五）考虑合格信用风险缓释后，基础资产在信用风险权重法下的风险权重应满足以下条件：</w:t>
      </w:r>
      <w:r>
        <w:rPr>
          <w:rFonts w:ascii="仿宋_GB2312" w:eastAsia="仿宋_GB2312"/>
          <w:sz w:val="30"/>
          <w:szCs w:val="30"/>
        </w:rPr>
        <w:t>1.</w:t>
      </w:r>
      <w:r>
        <w:rPr>
          <w:rFonts w:hint="eastAsia" w:ascii="仿宋_GB2312" w:eastAsia="仿宋_GB2312"/>
          <w:sz w:val="30"/>
          <w:szCs w:val="30"/>
        </w:rPr>
        <w:t>基础资产为住房抵押贷款或完全被担保的住房贷款，其加权平均风险权重小于或等于4</w:t>
      </w:r>
      <w:r>
        <w:rPr>
          <w:rFonts w:ascii="仿宋_GB2312" w:eastAsia="仿宋_GB2312"/>
          <w:sz w:val="30"/>
          <w:szCs w:val="30"/>
        </w:rPr>
        <w:t>0%；2.</w:t>
      </w:r>
      <w:r>
        <w:rPr>
          <w:rFonts w:hint="eastAsia" w:ascii="仿宋_GB2312" w:eastAsia="仿宋_GB2312"/>
          <w:sz w:val="30"/>
          <w:szCs w:val="30"/>
        </w:rPr>
        <w:t>基础资产为商业房产抵押贷款的，任一单笔资产的风险权重小于或等于6</w:t>
      </w:r>
      <w:r>
        <w:rPr>
          <w:rFonts w:ascii="仿宋_GB2312" w:eastAsia="仿宋_GB2312"/>
          <w:sz w:val="30"/>
          <w:szCs w:val="30"/>
        </w:rPr>
        <w:t>5%；3.</w:t>
      </w:r>
      <w:r>
        <w:rPr>
          <w:rFonts w:hint="eastAsia" w:ascii="仿宋_GB2312" w:eastAsia="仿宋_GB2312"/>
          <w:sz w:val="30"/>
          <w:szCs w:val="30"/>
        </w:rPr>
        <w:t>基础资产为零售风险暴露的，任一单笔资产的风险权重小于或等于75%；</w:t>
      </w:r>
      <w:r>
        <w:rPr>
          <w:rFonts w:ascii="仿宋_GB2312" w:eastAsia="仿宋_GB2312"/>
          <w:sz w:val="30"/>
          <w:szCs w:val="30"/>
        </w:rPr>
        <w:t>4.</w:t>
      </w:r>
      <w:r>
        <w:rPr>
          <w:rFonts w:hint="eastAsia" w:ascii="仿宋_GB2312" w:eastAsia="仿宋_GB2312"/>
          <w:sz w:val="30"/>
          <w:szCs w:val="30"/>
        </w:rPr>
        <w:t>基础资产为上述资产以外的，任一单笔资产的风险权重小于或等于</w:t>
      </w:r>
      <w:r>
        <w:rPr>
          <w:rFonts w:ascii="仿宋_GB2312" w:eastAsia="仿宋_GB2312"/>
          <w:sz w:val="30"/>
          <w:szCs w:val="30"/>
        </w:rPr>
        <w:t>100%。</w:t>
      </w:r>
    </w:p>
    <w:p>
      <w:pPr>
        <w:pStyle w:val="64"/>
        <w:widowControl/>
        <w:snapToGrid w:val="0"/>
        <w:spacing w:line="480" w:lineRule="exact"/>
        <w:ind w:firstLine="600" w:firstLineChars="200"/>
        <w:jc w:val="both"/>
        <w:rPr>
          <w:rFonts w:hint="default" w:ascii="仿宋_GB2312" w:eastAsia="仿宋_GB2312"/>
          <w:sz w:val="36"/>
          <w:szCs w:val="36"/>
        </w:rPr>
      </w:pPr>
      <w:r>
        <w:rPr>
          <w:rFonts w:ascii="仿宋_GB2312" w:eastAsia="仿宋_GB2312"/>
          <w:sz w:val="30"/>
          <w:szCs w:val="30"/>
        </w:rPr>
        <w:t>（十六）单一债务人的风险暴露值不得超过基础资产池全部风险暴露合计值的1%。对信贷资产证券化，如果发起方或支持方采用自持次级档的形式进行信用增级，且覆盖至少10%的第一损失，单一债务人风险暴露占比上限可以提高到2%，但发起人或支持方自持的次级档部分不适用“简单、透明、可比”的相关资本优惠。</w:t>
      </w:r>
    </w:p>
    <w:p>
      <w:pPr>
        <w:pStyle w:val="64"/>
        <w:widowControl/>
        <w:snapToGrid w:val="0"/>
        <w:spacing w:line="480" w:lineRule="exact"/>
        <w:ind w:firstLine="720" w:firstLineChars="200"/>
        <w:jc w:val="both"/>
        <w:rPr>
          <w:rFonts w:hint="default" w:ascii="仿宋_GB2312" w:eastAsia="仿宋_GB2312"/>
          <w:sz w:val="36"/>
          <w:szCs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DFKai-SB">
    <w:panose1 w:val="03000509000000000000"/>
    <w:charset w:val="88"/>
    <w:family w:val="script"/>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PingFang SC">
    <w:altName w:val="宋体"/>
    <w:panose1 w:val="020B0604020202020204"/>
    <w:charset w:val="00"/>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Segoe UI Symbol">
    <w:panose1 w:val="020B0502040204020203"/>
    <w:charset w:val="00"/>
    <w:family w:val="swiss"/>
    <w:pitch w:val="default"/>
    <w:sig w:usb0="8000006F" w:usb1="1200FBEF" w:usb2="0064C000" w:usb3="00000002" w:csb0="00000001" w:csb1="4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14</w:t>
    </w:r>
    <w:r>
      <w:rPr>
        <w:rFonts w:ascii="宋体" w:hAnsi="宋体" w:eastAsia="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10"/>
  <w:drawingGridVerticalSpacing w:val="156"/>
  <w:noPunctuationKerning w:val="1"/>
  <w:characterSpacingControl w:val="doNotCompress"/>
  <w:doNotValidateAgainstSchema/>
  <w:doNotDemarcateInvalidXml/>
  <w:footnotePr>
    <w:footnote w:id="0"/>
    <w:footnote w:id="1"/>
  </w:footnotePr>
  <w:endnotePr>
    <w:endnote w:id="0"/>
    <w:endnote w:id="1"/>
  </w:endnotePr>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ZTUwZDg4OGNlMmFiY2NmMGY3MjY4MWFhMmM1YjIifQ=="/>
  </w:docVars>
  <w:rsids>
    <w:rsidRoot w:val="00172A27"/>
    <w:rsid w:val="0000136E"/>
    <w:rsid w:val="00002A14"/>
    <w:rsid w:val="000036FD"/>
    <w:rsid w:val="00007B23"/>
    <w:rsid w:val="00007EAE"/>
    <w:rsid w:val="0001012E"/>
    <w:rsid w:val="00011177"/>
    <w:rsid w:val="00012BDD"/>
    <w:rsid w:val="0001391E"/>
    <w:rsid w:val="00014495"/>
    <w:rsid w:val="00015CB0"/>
    <w:rsid w:val="000175F2"/>
    <w:rsid w:val="00017932"/>
    <w:rsid w:val="00017E14"/>
    <w:rsid w:val="000200D6"/>
    <w:rsid w:val="00020582"/>
    <w:rsid w:val="000216EB"/>
    <w:rsid w:val="00021F6B"/>
    <w:rsid w:val="00023503"/>
    <w:rsid w:val="00027883"/>
    <w:rsid w:val="00032212"/>
    <w:rsid w:val="00032F1E"/>
    <w:rsid w:val="0003463B"/>
    <w:rsid w:val="000367FC"/>
    <w:rsid w:val="0003691D"/>
    <w:rsid w:val="00037680"/>
    <w:rsid w:val="00043530"/>
    <w:rsid w:val="00044B3C"/>
    <w:rsid w:val="00045C7F"/>
    <w:rsid w:val="00050F8B"/>
    <w:rsid w:val="000531F2"/>
    <w:rsid w:val="000534C5"/>
    <w:rsid w:val="00053A88"/>
    <w:rsid w:val="00054069"/>
    <w:rsid w:val="0005460C"/>
    <w:rsid w:val="00055306"/>
    <w:rsid w:val="00055E3D"/>
    <w:rsid w:val="000564FC"/>
    <w:rsid w:val="0005787C"/>
    <w:rsid w:val="00062184"/>
    <w:rsid w:val="0006476E"/>
    <w:rsid w:val="000705CC"/>
    <w:rsid w:val="00070664"/>
    <w:rsid w:val="00071E07"/>
    <w:rsid w:val="000731B1"/>
    <w:rsid w:val="0007357B"/>
    <w:rsid w:val="00073924"/>
    <w:rsid w:val="0007413B"/>
    <w:rsid w:val="0007473E"/>
    <w:rsid w:val="00076856"/>
    <w:rsid w:val="00076B5D"/>
    <w:rsid w:val="000774AC"/>
    <w:rsid w:val="00082AD3"/>
    <w:rsid w:val="00083F5A"/>
    <w:rsid w:val="000842AD"/>
    <w:rsid w:val="00084694"/>
    <w:rsid w:val="0008559A"/>
    <w:rsid w:val="0008637B"/>
    <w:rsid w:val="0009128A"/>
    <w:rsid w:val="000926B2"/>
    <w:rsid w:val="0009317C"/>
    <w:rsid w:val="000952D0"/>
    <w:rsid w:val="000963CE"/>
    <w:rsid w:val="0009650E"/>
    <w:rsid w:val="000A05AC"/>
    <w:rsid w:val="000A0E26"/>
    <w:rsid w:val="000A15B7"/>
    <w:rsid w:val="000A2804"/>
    <w:rsid w:val="000A2B0C"/>
    <w:rsid w:val="000A3877"/>
    <w:rsid w:val="000A4861"/>
    <w:rsid w:val="000A5414"/>
    <w:rsid w:val="000A6223"/>
    <w:rsid w:val="000B1046"/>
    <w:rsid w:val="000B1084"/>
    <w:rsid w:val="000B1887"/>
    <w:rsid w:val="000B188E"/>
    <w:rsid w:val="000B238F"/>
    <w:rsid w:val="000B3097"/>
    <w:rsid w:val="000B4060"/>
    <w:rsid w:val="000B49F5"/>
    <w:rsid w:val="000B61CA"/>
    <w:rsid w:val="000B63EF"/>
    <w:rsid w:val="000B7742"/>
    <w:rsid w:val="000B7A77"/>
    <w:rsid w:val="000B7CDD"/>
    <w:rsid w:val="000B7FA8"/>
    <w:rsid w:val="000C127F"/>
    <w:rsid w:val="000C20A2"/>
    <w:rsid w:val="000C3DE7"/>
    <w:rsid w:val="000C3EAE"/>
    <w:rsid w:val="000C57B0"/>
    <w:rsid w:val="000C5FEC"/>
    <w:rsid w:val="000C66C3"/>
    <w:rsid w:val="000C66DF"/>
    <w:rsid w:val="000C77FD"/>
    <w:rsid w:val="000D0A0F"/>
    <w:rsid w:val="000D2B26"/>
    <w:rsid w:val="000D45DC"/>
    <w:rsid w:val="000D5FE2"/>
    <w:rsid w:val="000D5FF2"/>
    <w:rsid w:val="000D6A42"/>
    <w:rsid w:val="000D74AA"/>
    <w:rsid w:val="000D7F36"/>
    <w:rsid w:val="000E089C"/>
    <w:rsid w:val="000E1520"/>
    <w:rsid w:val="000E1809"/>
    <w:rsid w:val="000E3278"/>
    <w:rsid w:val="000E5D64"/>
    <w:rsid w:val="000F365D"/>
    <w:rsid w:val="000F3A0F"/>
    <w:rsid w:val="000F3A71"/>
    <w:rsid w:val="000F3C9B"/>
    <w:rsid w:val="000F3E78"/>
    <w:rsid w:val="000F5F65"/>
    <w:rsid w:val="000F6105"/>
    <w:rsid w:val="000F6213"/>
    <w:rsid w:val="000F67B1"/>
    <w:rsid w:val="000F7664"/>
    <w:rsid w:val="000F7A10"/>
    <w:rsid w:val="00101DF4"/>
    <w:rsid w:val="001023E1"/>
    <w:rsid w:val="0010485C"/>
    <w:rsid w:val="00104923"/>
    <w:rsid w:val="00105243"/>
    <w:rsid w:val="001068F0"/>
    <w:rsid w:val="001107E7"/>
    <w:rsid w:val="001109D6"/>
    <w:rsid w:val="00110E55"/>
    <w:rsid w:val="0011193A"/>
    <w:rsid w:val="00111D71"/>
    <w:rsid w:val="00112DC1"/>
    <w:rsid w:val="001139F2"/>
    <w:rsid w:val="00115683"/>
    <w:rsid w:val="0011683B"/>
    <w:rsid w:val="0011714E"/>
    <w:rsid w:val="001210C7"/>
    <w:rsid w:val="00123129"/>
    <w:rsid w:val="00123D54"/>
    <w:rsid w:val="00125014"/>
    <w:rsid w:val="0012588A"/>
    <w:rsid w:val="0012600A"/>
    <w:rsid w:val="001264D2"/>
    <w:rsid w:val="001272CA"/>
    <w:rsid w:val="001275D0"/>
    <w:rsid w:val="00127AFA"/>
    <w:rsid w:val="00130E23"/>
    <w:rsid w:val="00131395"/>
    <w:rsid w:val="00132E1E"/>
    <w:rsid w:val="00133B9F"/>
    <w:rsid w:val="00133F8A"/>
    <w:rsid w:val="0013478A"/>
    <w:rsid w:val="001349C4"/>
    <w:rsid w:val="00135E47"/>
    <w:rsid w:val="0013630D"/>
    <w:rsid w:val="0013741E"/>
    <w:rsid w:val="00137B70"/>
    <w:rsid w:val="00140DBD"/>
    <w:rsid w:val="00142AC3"/>
    <w:rsid w:val="00147CAB"/>
    <w:rsid w:val="00147DF4"/>
    <w:rsid w:val="00151566"/>
    <w:rsid w:val="001523FC"/>
    <w:rsid w:val="00152762"/>
    <w:rsid w:val="00153FCB"/>
    <w:rsid w:val="00154283"/>
    <w:rsid w:val="00154F84"/>
    <w:rsid w:val="0015533B"/>
    <w:rsid w:val="001576AF"/>
    <w:rsid w:val="00161267"/>
    <w:rsid w:val="00161467"/>
    <w:rsid w:val="00162110"/>
    <w:rsid w:val="00163498"/>
    <w:rsid w:val="00167027"/>
    <w:rsid w:val="00167B5A"/>
    <w:rsid w:val="00167FEC"/>
    <w:rsid w:val="001702E3"/>
    <w:rsid w:val="0017061A"/>
    <w:rsid w:val="001715D8"/>
    <w:rsid w:val="00172A27"/>
    <w:rsid w:val="00175669"/>
    <w:rsid w:val="0018010F"/>
    <w:rsid w:val="00181009"/>
    <w:rsid w:val="001833F3"/>
    <w:rsid w:val="00184DF4"/>
    <w:rsid w:val="001855AF"/>
    <w:rsid w:val="00185A03"/>
    <w:rsid w:val="00185C2B"/>
    <w:rsid w:val="0018648C"/>
    <w:rsid w:val="00191CFF"/>
    <w:rsid w:val="001929E5"/>
    <w:rsid w:val="00192D17"/>
    <w:rsid w:val="00195662"/>
    <w:rsid w:val="00195D66"/>
    <w:rsid w:val="00196188"/>
    <w:rsid w:val="00197091"/>
    <w:rsid w:val="001A1120"/>
    <w:rsid w:val="001A1203"/>
    <w:rsid w:val="001A2B86"/>
    <w:rsid w:val="001A5864"/>
    <w:rsid w:val="001A5DC3"/>
    <w:rsid w:val="001B0301"/>
    <w:rsid w:val="001B088B"/>
    <w:rsid w:val="001B2AE4"/>
    <w:rsid w:val="001B761D"/>
    <w:rsid w:val="001B78B2"/>
    <w:rsid w:val="001B7ABB"/>
    <w:rsid w:val="001C2136"/>
    <w:rsid w:val="001C3367"/>
    <w:rsid w:val="001C3398"/>
    <w:rsid w:val="001C3A98"/>
    <w:rsid w:val="001C55E4"/>
    <w:rsid w:val="001C6B5B"/>
    <w:rsid w:val="001C73D2"/>
    <w:rsid w:val="001C757B"/>
    <w:rsid w:val="001D0F3C"/>
    <w:rsid w:val="001D1786"/>
    <w:rsid w:val="001D2B85"/>
    <w:rsid w:val="001D3F2C"/>
    <w:rsid w:val="001D4119"/>
    <w:rsid w:val="001D5A2C"/>
    <w:rsid w:val="001D5AA0"/>
    <w:rsid w:val="001D619D"/>
    <w:rsid w:val="001D714C"/>
    <w:rsid w:val="001E001E"/>
    <w:rsid w:val="001E06C3"/>
    <w:rsid w:val="001E267F"/>
    <w:rsid w:val="001E4B51"/>
    <w:rsid w:val="001E5879"/>
    <w:rsid w:val="001E7269"/>
    <w:rsid w:val="001F1517"/>
    <w:rsid w:val="001F22A4"/>
    <w:rsid w:val="001F2AB5"/>
    <w:rsid w:val="001F2F95"/>
    <w:rsid w:val="001F71E3"/>
    <w:rsid w:val="001F7512"/>
    <w:rsid w:val="00200E65"/>
    <w:rsid w:val="00202A74"/>
    <w:rsid w:val="00202F3C"/>
    <w:rsid w:val="00204489"/>
    <w:rsid w:val="002057E2"/>
    <w:rsid w:val="00207C97"/>
    <w:rsid w:val="00207CC0"/>
    <w:rsid w:val="00207D4D"/>
    <w:rsid w:val="0021278B"/>
    <w:rsid w:val="00212B62"/>
    <w:rsid w:val="002139C0"/>
    <w:rsid w:val="002146B0"/>
    <w:rsid w:val="0021613D"/>
    <w:rsid w:val="00216234"/>
    <w:rsid w:val="0021654D"/>
    <w:rsid w:val="00217935"/>
    <w:rsid w:val="00217CDD"/>
    <w:rsid w:val="00220DFC"/>
    <w:rsid w:val="00221CDD"/>
    <w:rsid w:val="00222809"/>
    <w:rsid w:val="002229D5"/>
    <w:rsid w:val="00222B35"/>
    <w:rsid w:val="00223856"/>
    <w:rsid w:val="002259BD"/>
    <w:rsid w:val="002302DA"/>
    <w:rsid w:val="00231C92"/>
    <w:rsid w:val="002326D9"/>
    <w:rsid w:val="00232ABF"/>
    <w:rsid w:val="00234BF5"/>
    <w:rsid w:val="00235A93"/>
    <w:rsid w:val="00236317"/>
    <w:rsid w:val="002369F3"/>
    <w:rsid w:val="0023711A"/>
    <w:rsid w:val="00241FAC"/>
    <w:rsid w:val="00242868"/>
    <w:rsid w:val="0024413C"/>
    <w:rsid w:val="00244DBE"/>
    <w:rsid w:val="002461B5"/>
    <w:rsid w:val="0024756B"/>
    <w:rsid w:val="00247DE0"/>
    <w:rsid w:val="00250A40"/>
    <w:rsid w:val="00250F06"/>
    <w:rsid w:val="0025132D"/>
    <w:rsid w:val="00251CD5"/>
    <w:rsid w:val="0025206E"/>
    <w:rsid w:val="0025329A"/>
    <w:rsid w:val="00254403"/>
    <w:rsid w:val="002566FA"/>
    <w:rsid w:val="00257D10"/>
    <w:rsid w:val="00260751"/>
    <w:rsid w:val="002620EA"/>
    <w:rsid w:val="00262F17"/>
    <w:rsid w:val="00264AFA"/>
    <w:rsid w:val="00264BA0"/>
    <w:rsid w:val="00266842"/>
    <w:rsid w:val="00266C22"/>
    <w:rsid w:val="00267002"/>
    <w:rsid w:val="00267978"/>
    <w:rsid w:val="002679F5"/>
    <w:rsid w:val="0027074C"/>
    <w:rsid w:val="00273644"/>
    <w:rsid w:val="00274B03"/>
    <w:rsid w:val="00274EB2"/>
    <w:rsid w:val="00275552"/>
    <w:rsid w:val="002759C9"/>
    <w:rsid w:val="0027631B"/>
    <w:rsid w:val="00276679"/>
    <w:rsid w:val="0027669B"/>
    <w:rsid w:val="002773EC"/>
    <w:rsid w:val="0027773F"/>
    <w:rsid w:val="002834A8"/>
    <w:rsid w:val="00283602"/>
    <w:rsid w:val="002845B3"/>
    <w:rsid w:val="00285253"/>
    <w:rsid w:val="0028609E"/>
    <w:rsid w:val="00287372"/>
    <w:rsid w:val="00292D00"/>
    <w:rsid w:val="00292E79"/>
    <w:rsid w:val="00292EC0"/>
    <w:rsid w:val="0029328C"/>
    <w:rsid w:val="00293A39"/>
    <w:rsid w:val="00293BAC"/>
    <w:rsid w:val="00294D02"/>
    <w:rsid w:val="00295D47"/>
    <w:rsid w:val="00296DB9"/>
    <w:rsid w:val="002A01C4"/>
    <w:rsid w:val="002A0290"/>
    <w:rsid w:val="002A1912"/>
    <w:rsid w:val="002A230B"/>
    <w:rsid w:val="002A2AB7"/>
    <w:rsid w:val="002A2B6B"/>
    <w:rsid w:val="002A2ED9"/>
    <w:rsid w:val="002A508F"/>
    <w:rsid w:val="002A5AAF"/>
    <w:rsid w:val="002A691F"/>
    <w:rsid w:val="002B01B8"/>
    <w:rsid w:val="002B15A1"/>
    <w:rsid w:val="002B1FF5"/>
    <w:rsid w:val="002B2BE4"/>
    <w:rsid w:val="002B3D83"/>
    <w:rsid w:val="002B7B94"/>
    <w:rsid w:val="002C2521"/>
    <w:rsid w:val="002C36E3"/>
    <w:rsid w:val="002C44D3"/>
    <w:rsid w:val="002C556C"/>
    <w:rsid w:val="002C5627"/>
    <w:rsid w:val="002C5B21"/>
    <w:rsid w:val="002C5E94"/>
    <w:rsid w:val="002D06F7"/>
    <w:rsid w:val="002D0805"/>
    <w:rsid w:val="002D0A21"/>
    <w:rsid w:val="002D1AE8"/>
    <w:rsid w:val="002D25C9"/>
    <w:rsid w:val="002D260F"/>
    <w:rsid w:val="002D3AE8"/>
    <w:rsid w:val="002D4700"/>
    <w:rsid w:val="002D6A24"/>
    <w:rsid w:val="002D6A6E"/>
    <w:rsid w:val="002D7C46"/>
    <w:rsid w:val="002E0BD5"/>
    <w:rsid w:val="002E17F5"/>
    <w:rsid w:val="002E2488"/>
    <w:rsid w:val="002E33D9"/>
    <w:rsid w:val="002E3B95"/>
    <w:rsid w:val="002E4238"/>
    <w:rsid w:val="002F0EFE"/>
    <w:rsid w:val="002F198B"/>
    <w:rsid w:val="002F23FB"/>
    <w:rsid w:val="002F40FB"/>
    <w:rsid w:val="002F587E"/>
    <w:rsid w:val="002F632E"/>
    <w:rsid w:val="002F665C"/>
    <w:rsid w:val="00301DF6"/>
    <w:rsid w:val="003021C0"/>
    <w:rsid w:val="00302217"/>
    <w:rsid w:val="00311428"/>
    <w:rsid w:val="00314C08"/>
    <w:rsid w:val="00314CFE"/>
    <w:rsid w:val="00315DE7"/>
    <w:rsid w:val="00316614"/>
    <w:rsid w:val="00316CCA"/>
    <w:rsid w:val="00317A18"/>
    <w:rsid w:val="00320786"/>
    <w:rsid w:val="00321CB0"/>
    <w:rsid w:val="003235AE"/>
    <w:rsid w:val="00325594"/>
    <w:rsid w:val="003258A7"/>
    <w:rsid w:val="00326266"/>
    <w:rsid w:val="003275C2"/>
    <w:rsid w:val="0033010A"/>
    <w:rsid w:val="003301AB"/>
    <w:rsid w:val="003310FB"/>
    <w:rsid w:val="003321DC"/>
    <w:rsid w:val="00333CED"/>
    <w:rsid w:val="003351A2"/>
    <w:rsid w:val="00336FC0"/>
    <w:rsid w:val="003376AE"/>
    <w:rsid w:val="00337A85"/>
    <w:rsid w:val="003400F6"/>
    <w:rsid w:val="00340FFE"/>
    <w:rsid w:val="0034116E"/>
    <w:rsid w:val="00342975"/>
    <w:rsid w:val="00343665"/>
    <w:rsid w:val="00344387"/>
    <w:rsid w:val="00344405"/>
    <w:rsid w:val="003448D1"/>
    <w:rsid w:val="00344ED9"/>
    <w:rsid w:val="00346517"/>
    <w:rsid w:val="003525DE"/>
    <w:rsid w:val="00353722"/>
    <w:rsid w:val="00353E5D"/>
    <w:rsid w:val="003549E4"/>
    <w:rsid w:val="00354F00"/>
    <w:rsid w:val="003573B6"/>
    <w:rsid w:val="00357FE2"/>
    <w:rsid w:val="003602DD"/>
    <w:rsid w:val="003659A9"/>
    <w:rsid w:val="00365F52"/>
    <w:rsid w:val="0036636D"/>
    <w:rsid w:val="00367BC0"/>
    <w:rsid w:val="00370C39"/>
    <w:rsid w:val="00370E9C"/>
    <w:rsid w:val="00370F1E"/>
    <w:rsid w:val="00371084"/>
    <w:rsid w:val="00371B60"/>
    <w:rsid w:val="003734BE"/>
    <w:rsid w:val="00373BC1"/>
    <w:rsid w:val="0037408C"/>
    <w:rsid w:val="003741E7"/>
    <w:rsid w:val="003748CC"/>
    <w:rsid w:val="003756C6"/>
    <w:rsid w:val="00376071"/>
    <w:rsid w:val="003768DD"/>
    <w:rsid w:val="003768E3"/>
    <w:rsid w:val="00376D67"/>
    <w:rsid w:val="00381C71"/>
    <w:rsid w:val="00382627"/>
    <w:rsid w:val="00382A7D"/>
    <w:rsid w:val="00382B97"/>
    <w:rsid w:val="00382FC0"/>
    <w:rsid w:val="00383288"/>
    <w:rsid w:val="00383C6F"/>
    <w:rsid w:val="003849A9"/>
    <w:rsid w:val="003866E9"/>
    <w:rsid w:val="00386B59"/>
    <w:rsid w:val="00386E36"/>
    <w:rsid w:val="00387384"/>
    <w:rsid w:val="00392114"/>
    <w:rsid w:val="0039259A"/>
    <w:rsid w:val="00393969"/>
    <w:rsid w:val="00393FB5"/>
    <w:rsid w:val="00394C06"/>
    <w:rsid w:val="003A4328"/>
    <w:rsid w:val="003A48BC"/>
    <w:rsid w:val="003A4B04"/>
    <w:rsid w:val="003A4C6B"/>
    <w:rsid w:val="003A64DD"/>
    <w:rsid w:val="003A688E"/>
    <w:rsid w:val="003A77D6"/>
    <w:rsid w:val="003B02E2"/>
    <w:rsid w:val="003B34D7"/>
    <w:rsid w:val="003B3766"/>
    <w:rsid w:val="003B3D63"/>
    <w:rsid w:val="003B44FE"/>
    <w:rsid w:val="003B5353"/>
    <w:rsid w:val="003B62B2"/>
    <w:rsid w:val="003B755A"/>
    <w:rsid w:val="003C0352"/>
    <w:rsid w:val="003C0514"/>
    <w:rsid w:val="003C1538"/>
    <w:rsid w:val="003C2F7A"/>
    <w:rsid w:val="003C3678"/>
    <w:rsid w:val="003C3C9C"/>
    <w:rsid w:val="003C5440"/>
    <w:rsid w:val="003C55FD"/>
    <w:rsid w:val="003C5CB7"/>
    <w:rsid w:val="003C6952"/>
    <w:rsid w:val="003C6B95"/>
    <w:rsid w:val="003D1A0C"/>
    <w:rsid w:val="003D1C86"/>
    <w:rsid w:val="003D2AA2"/>
    <w:rsid w:val="003D4D5D"/>
    <w:rsid w:val="003D553C"/>
    <w:rsid w:val="003D6C19"/>
    <w:rsid w:val="003D7816"/>
    <w:rsid w:val="003D7F6E"/>
    <w:rsid w:val="003E0BB7"/>
    <w:rsid w:val="003E2BAF"/>
    <w:rsid w:val="003E5925"/>
    <w:rsid w:val="003E79DE"/>
    <w:rsid w:val="003E7C24"/>
    <w:rsid w:val="003F0671"/>
    <w:rsid w:val="003F08DC"/>
    <w:rsid w:val="003F0D3A"/>
    <w:rsid w:val="003F31F1"/>
    <w:rsid w:val="003F3836"/>
    <w:rsid w:val="003F411C"/>
    <w:rsid w:val="003F527D"/>
    <w:rsid w:val="003F5449"/>
    <w:rsid w:val="003F6932"/>
    <w:rsid w:val="003F6BB6"/>
    <w:rsid w:val="00400BC7"/>
    <w:rsid w:val="00402829"/>
    <w:rsid w:val="00403421"/>
    <w:rsid w:val="00406C63"/>
    <w:rsid w:val="004070F8"/>
    <w:rsid w:val="004129E2"/>
    <w:rsid w:val="00413A36"/>
    <w:rsid w:val="00414EE3"/>
    <w:rsid w:val="0041568E"/>
    <w:rsid w:val="00416E78"/>
    <w:rsid w:val="00420DBC"/>
    <w:rsid w:val="00420ED8"/>
    <w:rsid w:val="004228CE"/>
    <w:rsid w:val="00422A99"/>
    <w:rsid w:val="004232CE"/>
    <w:rsid w:val="00423399"/>
    <w:rsid w:val="004233FE"/>
    <w:rsid w:val="00427619"/>
    <w:rsid w:val="00431079"/>
    <w:rsid w:val="00431A6C"/>
    <w:rsid w:val="00431D40"/>
    <w:rsid w:val="00432843"/>
    <w:rsid w:val="00433678"/>
    <w:rsid w:val="004348A4"/>
    <w:rsid w:val="00434CCE"/>
    <w:rsid w:val="00434F4D"/>
    <w:rsid w:val="0044310F"/>
    <w:rsid w:val="00444A2B"/>
    <w:rsid w:val="004461E6"/>
    <w:rsid w:val="004462F8"/>
    <w:rsid w:val="00447F2D"/>
    <w:rsid w:val="00452493"/>
    <w:rsid w:val="0045309C"/>
    <w:rsid w:val="0045316D"/>
    <w:rsid w:val="00457360"/>
    <w:rsid w:val="00457D6F"/>
    <w:rsid w:val="00461847"/>
    <w:rsid w:val="00461E93"/>
    <w:rsid w:val="00462026"/>
    <w:rsid w:val="004630F6"/>
    <w:rsid w:val="00463D4A"/>
    <w:rsid w:val="00467676"/>
    <w:rsid w:val="00471A87"/>
    <w:rsid w:val="00471E1E"/>
    <w:rsid w:val="00472133"/>
    <w:rsid w:val="004727DA"/>
    <w:rsid w:val="00475280"/>
    <w:rsid w:val="00475BD4"/>
    <w:rsid w:val="0047667C"/>
    <w:rsid w:val="00476CC7"/>
    <w:rsid w:val="00476CF0"/>
    <w:rsid w:val="00477812"/>
    <w:rsid w:val="00477AA0"/>
    <w:rsid w:val="004801DE"/>
    <w:rsid w:val="004828FA"/>
    <w:rsid w:val="004834D4"/>
    <w:rsid w:val="00484743"/>
    <w:rsid w:val="0048485F"/>
    <w:rsid w:val="00485A3B"/>
    <w:rsid w:val="00487BC6"/>
    <w:rsid w:val="00487E58"/>
    <w:rsid w:val="004913EC"/>
    <w:rsid w:val="00492E8B"/>
    <w:rsid w:val="00493511"/>
    <w:rsid w:val="004948E9"/>
    <w:rsid w:val="00494C0A"/>
    <w:rsid w:val="0049720A"/>
    <w:rsid w:val="0049780C"/>
    <w:rsid w:val="00497D77"/>
    <w:rsid w:val="004A0A95"/>
    <w:rsid w:val="004A3BAD"/>
    <w:rsid w:val="004A3D76"/>
    <w:rsid w:val="004A52BA"/>
    <w:rsid w:val="004A5EE8"/>
    <w:rsid w:val="004A7240"/>
    <w:rsid w:val="004A77B1"/>
    <w:rsid w:val="004A7A54"/>
    <w:rsid w:val="004B2C00"/>
    <w:rsid w:val="004B32FA"/>
    <w:rsid w:val="004B3D28"/>
    <w:rsid w:val="004B3F81"/>
    <w:rsid w:val="004B417B"/>
    <w:rsid w:val="004B442E"/>
    <w:rsid w:val="004B5388"/>
    <w:rsid w:val="004B56A5"/>
    <w:rsid w:val="004B6E45"/>
    <w:rsid w:val="004B7988"/>
    <w:rsid w:val="004B7D6F"/>
    <w:rsid w:val="004C1B45"/>
    <w:rsid w:val="004C28E8"/>
    <w:rsid w:val="004C391D"/>
    <w:rsid w:val="004C4AE7"/>
    <w:rsid w:val="004C60D9"/>
    <w:rsid w:val="004C7E08"/>
    <w:rsid w:val="004C7EFC"/>
    <w:rsid w:val="004D2282"/>
    <w:rsid w:val="004D2E1C"/>
    <w:rsid w:val="004D57DD"/>
    <w:rsid w:val="004D583D"/>
    <w:rsid w:val="004D5FE7"/>
    <w:rsid w:val="004D7F63"/>
    <w:rsid w:val="004E0894"/>
    <w:rsid w:val="004E094D"/>
    <w:rsid w:val="004E1855"/>
    <w:rsid w:val="004E613E"/>
    <w:rsid w:val="004F29EF"/>
    <w:rsid w:val="004F5BA1"/>
    <w:rsid w:val="00500924"/>
    <w:rsid w:val="005033C7"/>
    <w:rsid w:val="005045AD"/>
    <w:rsid w:val="00505190"/>
    <w:rsid w:val="00507778"/>
    <w:rsid w:val="00507FB7"/>
    <w:rsid w:val="00510588"/>
    <w:rsid w:val="005105A1"/>
    <w:rsid w:val="00512289"/>
    <w:rsid w:val="005125E1"/>
    <w:rsid w:val="005126F5"/>
    <w:rsid w:val="00513089"/>
    <w:rsid w:val="005168B6"/>
    <w:rsid w:val="00520B25"/>
    <w:rsid w:val="00523444"/>
    <w:rsid w:val="00525D83"/>
    <w:rsid w:val="005260B7"/>
    <w:rsid w:val="005275B8"/>
    <w:rsid w:val="00527998"/>
    <w:rsid w:val="00534C1A"/>
    <w:rsid w:val="00534E4E"/>
    <w:rsid w:val="00534F13"/>
    <w:rsid w:val="00535764"/>
    <w:rsid w:val="00535C8E"/>
    <w:rsid w:val="00535F71"/>
    <w:rsid w:val="00536559"/>
    <w:rsid w:val="00541173"/>
    <w:rsid w:val="00541493"/>
    <w:rsid w:val="0054285E"/>
    <w:rsid w:val="00544343"/>
    <w:rsid w:val="005446FC"/>
    <w:rsid w:val="00544C03"/>
    <w:rsid w:val="00545EB1"/>
    <w:rsid w:val="0054645E"/>
    <w:rsid w:val="005475E6"/>
    <w:rsid w:val="00547642"/>
    <w:rsid w:val="0055189C"/>
    <w:rsid w:val="00551EAE"/>
    <w:rsid w:val="00554876"/>
    <w:rsid w:val="00555027"/>
    <w:rsid w:val="00556920"/>
    <w:rsid w:val="00557C6B"/>
    <w:rsid w:val="00566607"/>
    <w:rsid w:val="00566844"/>
    <w:rsid w:val="00567131"/>
    <w:rsid w:val="0057072B"/>
    <w:rsid w:val="00570CCE"/>
    <w:rsid w:val="005721C8"/>
    <w:rsid w:val="00574849"/>
    <w:rsid w:val="00580C89"/>
    <w:rsid w:val="00580DC2"/>
    <w:rsid w:val="00582035"/>
    <w:rsid w:val="00582461"/>
    <w:rsid w:val="005825A5"/>
    <w:rsid w:val="005855A7"/>
    <w:rsid w:val="00586275"/>
    <w:rsid w:val="0058663B"/>
    <w:rsid w:val="005868D6"/>
    <w:rsid w:val="00587F49"/>
    <w:rsid w:val="00590397"/>
    <w:rsid w:val="005914D7"/>
    <w:rsid w:val="00591FC2"/>
    <w:rsid w:val="005929E5"/>
    <w:rsid w:val="0059349F"/>
    <w:rsid w:val="005A0255"/>
    <w:rsid w:val="005A3BF0"/>
    <w:rsid w:val="005A4102"/>
    <w:rsid w:val="005A4561"/>
    <w:rsid w:val="005A4917"/>
    <w:rsid w:val="005A4DC1"/>
    <w:rsid w:val="005B1DBE"/>
    <w:rsid w:val="005B2F6D"/>
    <w:rsid w:val="005B39B6"/>
    <w:rsid w:val="005B52FF"/>
    <w:rsid w:val="005B5613"/>
    <w:rsid w:val="005B65FF"/>
    <w:rsid w:val="005C0593"/>
    <w:rsid w:val="005C0A30"/>
    <w:rsid w:val="005C498B"/>
    <w:rsid w:val="005C4BC8"/>
    <w:rsid w:val="005D0830"/>
    <w:rsid w:val="005D1833"/>
    <w:rsid w:val="005D51CC"/>
    <w:rsid w:val="005D6B50"/>
    <w:rsid w:val="005D7EA2"/>
    <w:rsid w:val="005E1563"/>
    <w:rsid w:val="005E1A47"/>
    <w:rsid w:val="005E3BAB"/>
    <w:rsid w:val="005E6999"/>
    <w:rsid w:val="005E6B47"/>
    <w:rsid w:val="005E6FF1"/>
    <w:rsid w:val="005E72E7"/>
    <w:rsid w:val="005F02EF"/>
    <w:rsid w:val="005F05C4"/>
    <w:rsid w:val="005F3691"/>
    <w:rsid w:val="005F540F"/>
    <w:rsid w:val="005F5BA7"/>
    <w:rsid w:val="005F64C6"/>
    <w:rsid w:val="005F6CC7"/>
    <w:rsid w:val="005F7494"/>
    <w:rsid w:val="005F7BC3"/>
    <w:rsid w:val="00600573"/>
    <w:rsid w:val="00600CA1"/>
    <w:rsid w:val="00600F23"/>
    <w:rsid w:val="006033AE"/>
    <w:rsid w:val="00604711"/>
    <w:rsid w:val="00604BFE"/>
    <w:rsid w:val="00605E0F"/>
    <w:rsid w:val="006064CF"/>
    <w:rsid w:val="00606DF9"/>
    <w:rsid w:val="0060760B"/>
    <w:rsid w:val="0061002A"/>
    <w:rsid w:val="00611F8A"/>
    <w:rsid w:val="00611FEE"/>
    <w:rsid w:val="006149F6"/>
    <w:rsid w:val="006158FB"/>
    <w:rsid w:val="00617257"/>
    <w:rsid w:val="006177CC"/>
    <w:rsid w:val="00617C7D"/>
    <w:rsid w:val="00617F59"/>
    <w:rsid w:val="00617FDB"/>
    <w:rsid w:val="00621208"/>
    <w:rsid w:val="00623256"/>
    <w:rsid w:val="00624214"/>
    <w:rsid w:val="0062485B"/>
    <w:rsid w:val="006275EE"/>
    <w:rsid w:val="00630B51"/>
    <w:rsid w:val="006316B2"/>
    <w:rsid w:val="00631787"/>
    <w:rsid w:val="00632B40"/>
    <w:rsid w:val="00632E5F"/>
    <w:rsid w:val="0063536A"/>
    <w:rsid w:val="0063608D"/>
    <w:rsid w:val="006367F2"/>
    <w:rsid w:val="00637395"/>
    <w:rsid w:val="006400AB"/>
    <w:rsid w:val="006443E4"/>
    <w:rsid w:val="0064545F"/>
    <w:rsid w:val="00646646"/>
    <w:rsid w:val="00646EE6"/>
    <w:rsid w:val="006474EE"/>
    <w:rsid w:val="00647B65"/>
    <w:rsid w:val="00647D8D"/>
    <w:rsid w:val="006525B4"/>
    <w:rsid w:val="0065452F"/>
    <w:rsid w:val="00654A0C"/>
    <w:rsid w:val="00654F66"/>
    <w:rsid w:val="00656294"/>
    <w:rsid w:val="00662799"/>
    <w:rsid w:val="00663398"/>
    <w:rsid w:val="0066588D"/>
    <w:rsid w:val="00667A26"/>
    <w:rsid w:val="00671C9D"/>
    <w:rsid w:val="006728C1"/>
    <w:rsid w:val="006729EE"/>
    <w:rsid w:val="00673213"/>
    <w:rsid w:val="00675511"/>
    <w:rsid w:val="0067714A"/>
    <w:rsid w:val="00677AD2"/>
    <w:rsid w:val="0068429F"/>
    <w:rsid w:val="006850F9"/>
    <w:rsid w:val="00686143"/>
    <w:rsid w:val="006861B4"/>
    <w:rsid w:val="006861C1"/>
    <w:rsid w:val="006867BD"/>
    <w:rsid w:val="00686991"/>
    <w:rsid w:val="00686FB0"/>
    <w:rsid w:val="00687349"/>
    <w:rsid w:val="00690580"/>
    <w:rsid w:val="00690B78"/>
    <w:rsid w:val="00692981"/>
    <w:rsid w:val="00693222"/>
    <w:rsid w:val="00693448"/>
    <w:rsid w:val="006947FE"/>
    <w:rsid w:val="00695B04"/>
    <w:rsid w:val="00695FBE"/>
    <w:rsid w:val="00696898"/>
    <w:rsid w:val="0069724E"/>
    <w:rsid w:val="00697B39"/>
    <w:rsid w:val="006A097A"/>
    <w:rsid w:val="006A108E"/>
    <w:rsid w:val="006A30A6"/>
    <w:rsid w:val="006A5DCE"/>
    <w:rsid w:val="006A6E41"/>
    <w:rsid w:val="006A7D8F"/>
    <w:rsid w:val="006B0F5A"/>
    <w:rsid w:val="006B19BE"/>
    <w:rsid w:val="006B5F6B"/>
    <w:rsid w:val="006B6D37"/>
    <w:rsid w:val="006B6EAB"/>
    <w:rsid w:val="006B7B9F"/>
    <w:rsid w:val="006B7BC5"/>
    <w:rsid w:val="006C3FCD"/>
    <w:rsid w:val="006C5A05"/>
    <w:rsid w:val="006D15BE"/>
    <w:rsid w:val="006D244E"/>
    <w:rsid w:val="006D5FEE"/>
    <w:rsid w:val="006D6459"/>
    <w:rsid w:val="006D7AA9"/>
    <w:rsid w:val="006E027D"/>
    <w:rsid w:val="006E1972"/>
    <w:rsid w:val="006E1AA5"/>
    <w:rsid w:val="006E6467"/>
    <w:rsid w:val="006E77AD"/>
    <w:rsid w:val="006F1555"/>
    <w:rsid w:val="006F3641"/>
    <w:rsid w:val="006F653E"/>
    <w:rsid w:val="006F6C4B"/>
    <w:rsid w:val="0070031F"/>
    <w:rsid w:val="00700A03"/>
    <w:rsid w:val="00700E7E"/>
    <w:rsid w:val="007012B8"/>
    <w:rsid w:val="0070363B"/>
    <w:rsid w:val="00704582"/>
    <w:rsid w:val="007076D7"/>
    <w:rsid w:val="007101A0"/>
    <w:rsid w:val="00710D51"/>
    <w:rsid w:val="007138D3"/>
    <w:rsid w:val="007145C3"/>
    <w:rsid w:val="0071491A"/>
    <w:rsid w:val="007153B0"/>
    <w:rsid w:val="007161BC"/>
    <w:rsid w:val="007203D4"/>
    <w:rsid w:val="00720795"/>
    <w:rsid w:val="0072107C"/>
    <w:rsid w:val="007212B3"/>
    <w:rsid w:val="007214C3"/>
    <w:rsid w:val="00721893"/>
    <w:rsid w:val="00723CFE"/>
    <w:rsid w:val="0072645C"/>
    <w:rsid w:val="00727EE3"/>
    <w:rsid w:val="0073039A"/>
    <w:rsid w:val="007309A6"/>
    <w:rsid w:val="00731167"/>
    <w:rsid w:val="007330F6"/>
    <w:rsid w:val="00735E4C"/>
    <w:rsid w:val="0074024B"/>
    <w:rsid w:val="00740B20"/>
    <w:rsid w:val="00743057"/>
    <w:rsid w:val="007457E4"/>
    <w:rsid w:val="00745B5F"/>
    <w:rsid w:val="00747141"/>
    <w:rsid w:val="0075047A"/>
    <w:rsid w:val="00751B6A"/>
    <w:rsid w:val="00751B95"/>
    <w:rsid w:val="00751C8B"/>
    <w:rsid w:val="00751EBA"/>
    <w:rsid w:val="0075254C"/>
    <w:rsid w:val="0075283C"/>
    <w:rsid w:val="007533E0"/>
    <w:rsid w:val="00756DC8"/>
    <w:rsid w:val="00757D95"/>
    <w:rsid w:val="007601A1"/>
    <w:rsid w:val="0076087B"/>
    <w:rsid w:val="00765191"/>
    <w:rsid w:val="00765439"/>
    <w:rsid w:val="007679E4"/>
    <w:rsid w:val="007702A5"/>
    <w:rsid w:val="00770B2C"/>
    <w:rsid w:val="007717BC"/>
    <w:rsid w:val="00771CA9"/>
    <w:rsid w:val="007723B0"/>
    <w:rsid w:val="007741C7"/>
    <w:rsid w:val="00774F67"/>
    <w:rsid w:val="00775654"/>
    <w:rsid w:val="007761BF"/>
    <w:rsid w:val="00782901"/>
    <w:rsid w:val="00782DCD"/>
    <w:rsid w:val="007830C1"/>
    <w:rsid w:val="007854D9"/>
    <w:rsid w:val="007857A2"/>
    <w:rsid w:val="00785A57"/>
    <w:rsid w:val="00790E13"/>
    <w:rsid w:val="00791C15"/>
    <w:rsid w:val="0079210C"/>
    <w:rsid w:val="00792A06"/>
    <w:rsid w:val="007937C6"/>
    <w:rsid w:val="0079515B"/>
    <w:rsid w:val="00796526"/>
    <w:rsid w:val="00796868"/>
    <w:rsid w:val="0079768A"/>
    <w:rsid w:val="00797D93"/>
    <w:rsid w:val="007A0C07"/>
    <w:rsid w:val="007A0FE2"/>
    <w:rsid w:val="007A11F0"/>
    <w:rsid w:val="007A12AF"/>
    <w:rsid w:val="007A1D8D"/>
    <w:rsid w:val="007A308E"/>
    <w:rsid w:val="007A3147"/>
    <w:rsid w:val="007A5FB8"/>
    <w:rsid w:val="007A6132"/>
    <w:rsid w:val="007B2FCB"/>
    <w:rsid w:val="007B74FB"/>
    <w:rsid w:val="007C1F92"/>
    <w:rsid w:val="007C23C4"/>
    <w:rsid w:val="007C2E77"/>
    <w:rsid w:val="007C51A8"/>
    <w:rsid w:val="007C5C31"/>
    <w:rsid w:val="007D0105"/>
    <w:rsid w:val="007D0C4A"/>
    <w:rsid w:val="007D124B"/>
    <w:rsid w:val="007D1BFE"/>
    <w:rsid w:val="007D3C78"/>
    <w:rsid w:val="007D47B5"/>
    <w:rsid w:val="007D51C1"/>
    <w:rsid w:val="007D756F"/>
    <w:rsid w:val="007E2697"/>
    <w:rsid w:val="007E4019"/>
    <w:rsid w:val="007E4096"/>
    <w:rsid w:val="007E4D4C"/>
    <w:rsid w:val="007E4E04"/>
    <w:rsid w:val="007E5133"/>
    <w:rsid w:val="007E516E"/>
    <w:rsid w:val="007E5346"/>
    <w:rsid w:val="007E5BBB"/>
    <w:rsid w:val="007E79AB"/>
    <w:rsid w:val="007E7EBB"/>
    <w:rsid w:val="007F0C54"/>
    <w:rsid w:val="007F381C"/>
    <w:rsid w:val="007F525E"/>
    <w:rsid w:val="007F66BE"/>
    <w:rsid w:val="007F7C7F"/>
    <w:rsid w:val="00800579"/>
    <w:rsid w:val="00800ABD"/>
    <w:rsid w:val="0080283C"/>
    <w:rsid w:val="00803990"/>
    <w:rsid w:val="0080473F"/>
    <w:rsid w:val="008052A1"/>
    <w:rsid w:val="00805E40"/>
    <w:rsid w:val="008079C1"/>
    <w:rsid w:val="00814108"/>
    <w:rsid w:val="0081464C"/>
    <w:rsid w:val="00814E4C"/>
    <w:rsid w:val="00815282"/>
    <w:rsid w:val="0081623F"/>
    <w:rsid w:val="008165D0"/>
    <w:rsid w:val="00820B31"/>
    <w:rsid w:val="00820DBF"/>
    <w:rsid w:val="0082411D"/>
    <w:rsid w:val="00824406"/>
    <w:rsid w:val="0082538A"/>
    <w:rsid w:val="00827F09"/>
    <w:rsid w:val="00830503"/>
    <w:rsid w:val="00830609"/>
    <w:rsid w:val="00832015"/>
    <w:rsid w:val="008328A2"/>
    <w:rsid w:val="0083501B"/>
    <w:rsid w:val="008357FB"/>
    <w:rsid w:val="00836097"/>
    <w:rsid w:val="00836A18"/>
    <w:rsid w:val="00836CE8"/>
    <w:rsid w:val="00840FEB"/>
    <w:rsid w:val="00841551"/>
    <w:rsid w:val="00842143"/>
    <w:rsid w:val="008425A1"/>
    <w:rsid w:val="00843021"/>
    <w:rsid w:val="008437DB"/>
    <w:rsid w:val="00844064"/>
    <w:rsid w:val="008441E2"/>
    <w:rsid w:val="008442AC"/>
    <w:rsid w:val="0084551C"/>
    <w:rsid w:val="0084578E"/>
    <w:rsid w:val="008462FA"/>
    <w:rsid w:val="00846F17"/>
    <w:rsid w:val="0085018F"/>
    <w:rsid w:val="008501A1"/>
    <w:rsid w:val="008509DC"/>
    <w:rsid w:val="00851D76"/>
    <w:rsid w:val="008522E9"/>
    <w:rsid w:val="00853AEE"/>
    <w:rsid w:val="008545CE"/>
    <w:rsid w:val="00855911"/>
    <w:rsid w:val="00857994"/>
    <w:rsid w:val="008579C6"/>
    <w:rsid w:val="0086030B"/>
    <w:rsid w:val="008635B5"/>
    <w:rsid w:val="0086412E"/>
    <w:rsid w:val="00865366"/>
    <w:rsid w:val="00865E41"/>
    <w:rsid w:val="00867301"/>
    <w:rsid w:val="00870A23"/>
    <w:rsid w:val="0087393A"/>
    <w:rsid w:val="008749A6"/>
    <w:rsid w:val="00877311"/>
    <w:rsid w:val="00877E8C"/>
    <w:rsid w:val="00880141"/>
    <w:rsid w:val="00880190"/>
    <w:rsid w:val="008810FF"/>
    <w:rsid w:val="00882EDA"/>
    <w:rsid w:val="00884227"/>
    <w:rsid w:val="00884BE2"/>
    <w:rsid w:val="00885A78"/>
    <w:rsid w:val="008908F0"/>
    <w:rsid w:val="008912A8"/>
    <w:rsid w:val="00891E23"/>
    <w:rsid w:val="00893ECA"/>
    <w:rsid w:val="008968EE"/>
    <w:rsid w:val="00897873"/>
    <w:rsid w:val="00897E60"/>
    <w:rsid w:val="008A0903"/>
    <w:rsid w:val="008A1E82"/>
    <w:rsid w:val="008A20F5"/>
    <w:rsid w:val="008A4BB4"/>
    <w:rsid w:val="008A553B"/>
    <w:rsid w:val="008A5DCA"/>
    <w:rsid w:val="008A61C2"/>
    <w:rsid w:val="008A7690"/>
    <w:rsid w:val="008B046D"/>
    <w:rsid w:val="008B051F"/>
    <w:rsid w:val="008B2A7D"/>
    <w:rsid w:val="008B2C39"/>
    <w:rsid w:val="008B30AB"/>
    <w:rsid w:val="008B4405"/>
    <w:rsid w:val="008B5BD9"/>
    <w:rsid w:val="008B6FAF"/>
    <w:rsid w:val="008B7CDF"/>
    <w:rsid w:val="008C0C3D"/>
    <w:rsid w:val="008C1295"/>
    <w:rsid w:val="008C2176"/>
    <w:rsid w:val="008C269A"/>
    <w:rsid w:val="008C307C"/>
    <w:rsid w:val="008C36E5"/>
    <w:rsid w:val="008C3CAA"/>
    <w:rsid w:val="008C4D8A"/>
    <w:rsid w:val="008D00F9"/>
    <w:rsid w:val="008D01EA"/>
    <w:rsid w:val="008D155D"/>
    <w:rsid w:val="008D38E6"/>
    <w:rsid w:val="008D6013"/>
    <w:rsid w:val="008D76DD"/>
    <w:rsid w:val="008D7CDE"/>
    <w:rsid w:val="008E1FF7"/>
    <w:rsid w:val="008E222A"/>
    <w:rsid w:val="008E230B"/>
    <w:rsid w:val="008E3C7C"/>
    <w:rsid w:val="008F0160"/>
    <w:rsid w:val="008F09DD"/>
    <w:rsid w:val="008F4293"/>
    <w:rsid w:val="008F47CA"/>
    <w:rsid w:val="008F4887"/>
    <w:rsid w:val="008F75E2"/>
    <w:rsid w:val="00900B6B"/>
    <w:rsid w:val="0090100E"/>
    <w:rsid w:val="009019B1"/>
    <w:rsid w:val="00902867"/>
    <w:rsid w:val="009032F7"/>
    <w:rsid w:val="00904E3F"/>
    <w:rsid w:val="009060C4"/>
    <w:rsid w:val="00907372"/>
    <w:rsid w:val="009078B7"/>
    <w:rsid w:val="00907BB0"/>
    <w:rsid w:val="00907FC2"/>
    <w:rsid w:val="00910B0A"/>
    <w:rsid w:val="0091263B"/>
    <w:rsid w:val="00912ABA"/>
    <w:rsid w:val="00914635"/>
    <w:rsid w:val="009157ED"/>
    <w:rsid w:val="009161C5"/>
    <w:rsid w:val="0091623C"/>
    <w:rsid w:val="009164CF"/>
    <w:rsid w:val="00917239"/>
    <w:rsid w:val="00917E7C"/>
    <w:rsid w:val="00925F60"/>
    <w:rsid w:val="00926B34"/>
    <w:rsid w:val="00927E63"/>
    <w:rsid w:val="009302DF"/>
    <w:rsid w:val="00930EBD"/>
    <w:rsid w:val="0093266A"/>
    <w:rsid w:val="00932C6F"/>
    <w:rsid w:val="009333E7"/>
    <w:rsid w:val="00934580"/>
    <w:rsid w:val="009347FE"/>
    <w:rsid w:val="00934B79"/>
    <w:rsid w:val="00934C22"/>
    <w:rsid w:val="00934F09"/>
    <w:rsid w:val="00935848"/>
    <w:rsid w:val="00936EF8"/>
    <w:rsid w:val="00937128"/>
    <w:rsid w:val="00940976"/>
    <w:rsid w:val="00940BBA"/>
    <w:rsid w:val="009422D6"/>
    <w:rsid w:val="009435F7"/>
    <w:rsid w:val="009436C2"/>
    <w:rsid w:val="00943C22"/>
    <w:rsid w:val="0094447B"/>
    <w:rsid w:val="00945B7E"/>
    <w:rsid w:val="00946FC7"/>
    <w:rsid w:val="009470F4"/>
    <w:rsid w:val="0094718A"/>
    <w:rsid w:val="00947247"/>
    <w:rsid w:val="009509F9"/>
    <w:rsid w:val="00950F4A"/>
    <w:rsid w:val="009519EB"/>
    <w:rsid w:val="00953190"/>
    <w:rsid w:val="0095438E"/>
    <w:rsid w:val="00954BEE"/>
    <w:rsid w:val="009574B8"/>
    <w:rsid w:val="00957D6B"/>
    <w:rsid w:val="00957EE8"/>
    <w:rsid w:val="0096011F"/>
    <w:rsid w:val="00962B7E"/>
    <w:rsid w:val="00965FCE"/>
    <w:rsid w:val="00966A75"/>
    <w:rsid w:val="00967999"/>
    <w:rsid w:val="00967B12"/>
    <w:rsid w:val="00967BFF"/>
    <w:rsid w:val="0097096C"/>
    <w:rsid w:val="009711B3"/>
    <w:rsid w:val="00971ACA"/>
    <w:rsid w:val="009720EA"/>
    <w:rsid w:val="009738BC"/>
    <w:rsid w:val="009752D0"/>
    <w:rsid w:val="00975623"/>
    <w:rsid w:val="00976523"/>
    <w:rsid w:val="0097670B"/>
    <w:rsid w:val="00977505"/>
    <w:rsid w:val="00977C51"/>
    <w:rsid w:val="00981790"/>
    <w:rsid w:val="009840F4"/>
    <w:rsid w:val="009844E8"/>
    <w:rsid w:val="009849A2"/>
    <w:rsid w:val="00985F72"/>
    <w:rsid w:val="009860D5"/>
    <w:rsid w:val="009863AB"/>
    <w:rsid w:val="009866B6"/>
    <w:rsid w:val="00986F14"/>
    <w:rsid w:val="009873A0"/>
    <w:rsid w:val="00987565"/>
    <w:rsid w:val="00991D2C"/>
    <w:rsid w:val="009933CD"/>
    <w:rsid w:val="0099509A"/>
    <w:rsid w:val="009957AE"/>
    <w:rsid w:val="0099788A"/>
    <w:rsid w:val="009A1201"/>
    <w:rsid w:val="009A1AEF"/>
    <w:rsid w:val="009A3931"/>
    <w:rsid w:val="009A4D13"/>
    <w:rsid w:val="009A5144"/>
    <w:rsid w:val="009B01E3"/>
    <w:rsid w:val="009B2014"/>
    <w:rsid w:val="009B28DD"/>
    <w:rsid w:val="009B50EE"/>
    <w:rsid w:val="009B7996"/>
    <w:rsid w:val="009C1116"/>
    <w:rsid w:val="009C35D6"/>
    <w:rsid w:val="009C4E06"/>
    <w:rsid w:val="009C524C"/>
    <w:rsid w:val="009C5E04"/>
    <w:rsid w:val="009C5FBE"/>
    <w:rsid w:val="009C6070"/>
    <w:rsid w:val="009C70F2"/>
    <w:rsid w:val="009C7637"/>
    <w:rsid w:val="009C79B2"/>
    <w:rsid w:val="009C7AE8"/>
    <w:rsid w:val="009D056B"/>
    <w:rsid w:val="009D36AF"/>
    <w:rsid w:val="009D37E7"/>
    <w:rsid w:val="009D389D"/>
    <w:rsid w:val="009D3CDB"/>
    <w:rsid w:val="009D5471"/>
    <w:rsid w:val="009D799E"/>
    <w:rsid w:val="009E0379"/>
    <w:rsid w:val="009E0AF9"/>
    <w:rsid w:val="009E0FF8"/>
    <w:rsid w:val="009E2B9A"/>
    <w:rsid w:val="009E372C"/>
    <w:rsid w:val="009E430F"/>
    <w:rsid w:val="009E4391"/>
    <w:rsid w:val="009E4F3E"/>
    <w:rsid w:val="009F2C9C"/>
    <w:rsid w:val="009F4851"/>
    <w:rsid w:val="009F4994"/>
    <w:rsid w:val="009F5268"/>
    <w:rsid w:val="009F562D"/>
    <w:rsid w:val="009F5AFB"/>
    <w:rsid w:val="009F632E"/>
    <w:rsid w:val="009F6DC1"/>
    <w:rsid w:val="00A00FBA"/>
    <w:rsid w:val="00A0107A"/>
    <w:rsid w:val="00A015BA"/>
    <w:rsid w:val="00A02AC4"/>
    <w:rsid w:val="00A03377"/>
    <w:rsid w:val="00A03CA0"/>
    <w:rsid w:val="00A03FAC"/>
    <w:rsid w:val="00A07F44"/>
    <w:rsid w:val="00A1351C"/>
    <w:rsid w:val="00A15181"/>
    <w:rsid w:val="00A22961"/>
    <w:rsid w:val="00A2393D"/>
    <w:rsid w:val="00A23A54"/>
    <w:rsid w:val="00A23E10"/>
    <w:rsid w:val="00A24D63"/>
    <w:rsid w:val="00A275BB"/>
    <w:rsid w:val="00A30B49"/>
    <w:rsid w:val="00A32739"/>
    <w:rsid w:val="00A32D1D"/>
    <w:rsid w:val="00A33286"/>
    <w:rsid w:val="00A334B9"/>
    <w:rsid w:val="00A34DB8"/>
    <w:rsid w:val="00A36BAB"/>
    <w:rsid w:val="00A37C08"/>
    <w:rsid w:val="00A40D59"/>
    <w:rsid w:val="00A4183A"/>
    <w:rsid w:val="00A41BFB"/>
    <w:rsid w:val="00A43055"/>
    <w:rsid w:val="00A438CF"/>
    <w:rsid w:val="00A468D3"/>
    <w:rsid w:val="00A46BFB"/>
    <w:rsid w:val="00A50D28"/>
    <w:rsid w:val="00A510E2"/>
    <w:rsid w:val="00A54871"/>
    <w:rsid w:val="00A54BA7"/>
    <w:rsid w:val="00A54CD3"/>
    <w:rsid w:val="00A554A1"/>
    <w:rsid w:val="00A56321"/>
    <w:rsid w:val="00A56E90"/>
    <w:rsid w:val="00A6627A"/>
    <w:rsid w:val="00A663DE"/>
    <w:rsid w:val="00A67398"/>
    <w:rsid w:val="00A70ED3"/>
    <w:rsid w:val="00A70FC7"/>
    <w:rsid w:val="00A71004"/>
    <w:rsid w:val="00A73AB1"/>
    <w:rsid w:val="00A73D2E"/>
    <w:rsid w:val="00A7478F"/>
    <w:rsid w:val="00A74CD6"/>
    <w:rsid w:val="00A76DAE"/>
    <w:rsid w:val="00A77A03"/>
    <w:rsid w:val="00A80BA4"/>
    <w:rsid w:val="00A8371E"/>
    <w:rsid w:val="00A849DC"/>
    <w:rsid w:val="00A855A2"/>
    <w:rsid w:val="00A86416"/>
    <w:rsid w:val="00A8646F"/>
    <w:rsid w:val="00A86D5A"/>
    <w:rsid w:val="00A86FD2"/>
    <w:rsid w:val="00A917AA"/>
    <w:rsid w:val="00A92669"/>
    <w:rsid w:val="00A9322E"/>
    <w:rsid w:val="00A96E09"/>
    <w:rsid w:val="00A9790B"/>
    <w:rsid w:val="00A97F64"/>
    <w:rsid w:val="00AA0B95"/>
    <w:rsid w:val="00AA2843"/>
    <w:rsid w:val="00AA5065"/>
    <w:rsid w:val="00AA7041"/>
    <w:rsid w:val="00AA76EF"/>
    <w:rsid w:val="00AA79A7"/>
    <w:rsid w:val="00AA7FB8"/>
    <w:rsid w:val="00AB0E57"/>
    <w:rsid w:val="00AB1A86"/>
    <w:rsid w:val="00AB1BE5"/>
    <w:rsid w:val="00AB2871"/>
    <w:rsid w:val="00AB2AB3"/>
    <w:rsid w:val="00AB3190"/>
    <w:rsid w:val="00AB4A5D"/>
    <w:rsid w:val="00AB4C49"/>
    <w:rsid w:val="00AB52D1"/>
    <w:rsid w:val="00AB532F"/>
    <w:rsid w:val="00AB6202"/>
    <w:rsid w:val="00AC08B3"/>
    <w:rsid w:val="00AC2A96"/>
    <w:rsid w:val="00AC3C0B"/>
    <w:rsid w:val="00AC3FAE"/>
    <w:rsid w:val="00AC5060"/>
    <w:rsid w:val="00AC759B"/>
    <w:rsid w:val="00AC7B2C"/>
    <w:rsid w:val="00AD2FA5"/>
    <w:rsid w:val="00AD5914"/>
    <w:rsid w:val="00AD5D6D"/>
    <w:rsid w:val="00AD611A"/>
    <w:rsid w:val="00AD7017"/>
    <w:rsid w:val="00AD70EA"/>
    <w:rsid w:val="00AE0047"/>
    <w:rsid w:val="00AE0898"/>
    <w:rsid w:val="00AE182B"/>
    <w:rsid w:val="00AE238F"/>
    <w:rsid w:val="00AE335B"/>
    <w:rsid w:val="00AE3AAE"/>
    <w:rsid w:val="00AE3B3F"/>
    <w:rsid w:val="00AE3F47"/>
    <w:rsid w:val="00AE4CE4"/>
    <w:rsid w:val="00AE52EB"/>
    <w:rsid w:val="00AE6E19"/>
    <w:rsid w:val="00AE7E6F"/>
    <w:rsid w:val="00AF00D8"/>
    <w:rsid w:val="00AF0246"/>
    <w:rsid w:val="00AF033D"/>
    <w:rsid w:val="00AF06E7"/>
    <w:rsid w:val="00AF0C92"/>
    <w:rsid w:val="00AF0F06"/>
    <w:rsid w:val="00AF1E7C"/>
    <w:rsid w:val="00AF23BE"/>
    <w:rsid w:val="00AF292A"/>
    <w:rsid w:val="00AF325F"/>
    <w:rsid w:val="00AF33C9"/>
    <w:rsid w:val="00AF5E9A"/>
    <w:rsid w:val="00AF6A6E"/>
    <w:rsid w:val="00AF7CE1"/>
    <w:rsid w:val="00B000F9"/>
    <w:rsid w:val="00B0363F"/>
    <w:rsid w:val="00B03A58"/>
    <w:rsid w:val="00B04AAE"/>
    <w:rsid w:val="00B050A9"/>
    <w:rsid w:val="00B07B51"/>
    <w:rsid w:val="00B112AE"/>
    <w:rsid w:val="00B11962"/>
    <w:rsid w:val="00B11E2E"/>
    <w:rsid w:val="00B1335E"/>
    <w:rsid w:val="00B13DBD"/>
    <w:rsid w:val="00B154D3"/>
    <w:rsid w:val="00B15A5E"/>
    <w:rsid w:val="00B15C3B"/>
    <w:rsid w:val="00B175F8"/>
    <w:rsid w:val="00B17C1E"/>
    <w:rsid w:val="00B20716"/>
    <w:rsid w:val="00B23A2A"/>
    <w:rsid w:val="00B240F7"/>
    <w:rsid w:val="00B24883"/>
    <w:rsid w:val="00B252D6"/>
    <w:rsid w:val="00B25A07"/>
    <w:rsid w:val="00B271B6"/>
    <w:rsid w:val="00B27396"/>
    <w:rsid w:val="00B273EC"/>
    <w:rsid w:val="00B3098A"/>
    <w:rsid w:val="00B31A90"/>
    <w:rsid w:val="00B33CE5"/>
    <w:rsid w:val="00B362A5"/>
    <w:rsid w:val="00B378EE"/>
    <w:rsid w:val="00B37FAB"/>
    <w:rsid w:val="00B40C68"/>
    <w:rsid w:val="00B4206A"/>
    <w:rsid w:val="00B4221C"/>
    <w:rsid w:val="00B43AE0"/>
    <w:rsid w:val="00B44910"/>
    <w:rsid w:val="00B44911"/>
    <w:rsid w:val="00B456EC"/>
    <w:rsid w:val="00B46AA1"/>
    <w:rsid w:val="00B50CB1"/>
    <w:rsid w:val="00B517AD"/>
    <w:rsid w:val="00B51B8E"/>
    <w:rsid w:val="00B5339D"/>
    <w:rsid w:val="00B5378A"/>
    <w:rsid w:val="00B54684"/>
    <w:rsid w:val="00B54AFD"/>
    <w:rsid w:val="00B55A91"/>
    <w:rsid w:val="00B56645"/>
    <w:rsid w:val="00B5795A"/>
    <w:rsid w:val="00B6006F"/>
    <w:rsid w:val="00B6224C"/>
    <w:rsid w:val="00B6574A"/>
    <w:rsid w:val="00B65E93"/>
    <w:rsid w:val="00B6630C"/>
    <w:rsid w:val="00B6777C"/>
    <w:rsid w:val="00B67B47"/>
    <w:rsid w:val="00B70AB1"/>
    <w:rsid w:val="00B70AE5"/>
    <w:rsid w:val="00B74A2F"/>
    <w:rsid w:val="00B750A3"/>
    <w:rsid w:val="00B759E4"/>
    <w:rsid w:val="00B77507"/>
    <w:rsid w:val="00B8081E"/>
    <w:rsid w:val="00B814F9"/>
    <w:rsid w:val="00B818A9"/>
    <w:rsid w:val="00B8203B"/>
    <w:rsid w:val="00B823A2"/>
    <w:rsid w:val="00B833AF"/>
    <w:rsid w:val="00B83E58"/>
    <w:rsid w:val="00B85E14"/>
    <w:rsid w:val="00B904B8"/>
    <w:rsid w:val="00B90A1B"/>
    <w:rsid w:val="00B92C11"/>
    <w:rsid w:val="00BA03AC"/>
    <w:rsid w:val="00BA1BA0"/>
    <w:rsid w:val="00BA3F88"/>
    <w:rsid w:val="00BA4C65"/>
    <w:rsid w:val="00BA653A"/>
    <w:rsid w:val="00BB0FCF"/>
    <w:rsid w:val="00BB1BC8"/>
    <w:rsid w:val="00BB20D3"/>
    <w:rsid w:val="00BB3A46"/>
    <w:rsid w:val="00BB3C31"/>
    <w:rsid w:val="00BB449E"/>
    <w:rsid w:val="00BB5295"/>
    <w:rsid w:val="00BB5D9A"/>
    <w:rsid w:val="00BB5E80"/>
    <w:rsid w:val="00BB5E91"/>
    <w:rsid w:val="00BB6F47"/>
    <w:rsid w:val="00BB74A8"/>
    <w:rsid w:val="00BB78FF"/>
    <w:rsid w:val="00BB7CDB"/>
    <w:rsid w:val="00BC44E2"/>
    <w:rsid w:val="00BC548B"/>
    <w:rsid w:val="00BC69F0"/>
    <w:rsid w:val="00BC78DA"/>
    <w:rsid w:val="00BD0B38"/>
    <w:rsid w:val="00BD124E"/>
    <w:rsid w:val="00BD27E9"/>
    <w:rsid w:val="00BD3572"/>
    <w:rsid w:val="00BD3B68"/>
    <w:rsid w:val="00BD3F3B"/>
    <w:rsid w:val="00BD45F9"/>
    <w:rsid w:val="00BD6528"/>
    <w:rsid w:val="00BD6CD9"/>
    <w:rsid w:val="00BD7A88"/>
    <w:rsid w:val="00BE1035"/>
    <w:rsid w:val="00BE1A1A"/>
    <w:rsid w:val="00BE2453"/>
    <w:rsid w:val="00BE4111"/>
    <w:rsid w:val="00BE563F"/>
    <w:rsid w:val="00BE6756"/>
    <w:rsid w:val="00BE696A"/>
    <w:rsid w:val="00BE6BCC"/>
    <w:rsid w:val="00BF1077"/>
    <w:rsid w:val="00BF19FE"/>
    <w:rsid w:val="00BF1F19"/>
    <w:rsid w:val="00BF43E1"/>
    <w:rsid w:val="00BF5101"/>
    <w:rsid w:val="00BF57A3"/>
    <w:rsid w:val="00C001F4"/>
    <w:rsid w:val="00C02EA6"/>
    <w:rsid w:val="00C04749"/>
    <w:rsid w:val="00C04D32"/>
    <w:rsid w:val="00C05C57"/>
    <w:rsid w:val="00C06F18"/>
    <w:rsid w:val="00C07347"/>
    <w:rsid w:val="00C11CFF"/>
    <w:rsid w:val="00C139BE"/>
    <w:rsid w:val="00C166C1"/>
    <w:rsid w:val="00C20462"/>
    <w:rsid w:val="00C20B51"/>
    <w:rsid w:val="00C20D8F"/>
    <w:rsid w:val="00C2310E"/>
    <w:rsid w:val="00C23114"/>
    <w:rsid w:val="00C251C6"/>
    <w:rsid w:val="00C25805"/>
    <w:rsid w:val="00C25815"/>
    <w:rsid w:val="00C278E7"/>
    <w:rsid w:val="00C30632"/>
    <w:rsid w:val="00C316A7"/>
    <w:rsid w:val="00C322A8"/>
    <w:rsid w:val="00C35B7F"/>
    <w:rsid w:val="00C3636F"/>
    <w:rsid w:val="00C4061E"/>
    <w:rsid w:val="00C41C43"/>
    <w:rsid w:val="00C42972"/>
    <w:rsid w:val="00C43483"/>
    <w:rsid w:val="00C436E9"/>
    <w:rsid w:val="00C4386D"/>
    <w:rsid w:val="00C4430E"/>
    <w:rsid w:val="00C45110"/>
    <w:rsid w:val="00C468BA"/>
    <w:rsid w:val="00C47A2E"/>
    <w:rsid w:val="00C47DBC"/>
    <w:rsid w:val="00C513A0"/>
    <w:rsid w:val="00C520E0"/>
    <w:rsid w:val="00C52231"/>
    <w:rsid w:val="00C546B6"/>
    <w:rsid w:val="00C572F5"/>
    <w:rsid w:val="00C5764C"/>
    <w:rsid w:val="00C614B1"/>
    <w:rsid w:val="00C6270F"/>
    <w:rsid w:val="00C64D6B"/>
    <w:rsid w:val="00C6563E"/>
    <w:rsid w:val="00C65AA9"/>
    <w:rsid w:val="00C66012"/>
    <w:rsid w:val="00C66143"/>
    <w:rsid w:val="00C72323"/>
    <w:rsid w:val="00C732BA"/>
    <w:rsid w:val="00C736AD"/>
    <w:rsid w:val="00C758FA"/>
    <w:rsid w:val="00C76293"/>
    <w:rsid w:val="00C76CB6"/>
    <w:rsid w:val="00C80518"/>
    <w:rsid w:val="00C82782"/>
    <w:rsid w:val="00C82EF2"/>
    <w:rsid w:val="00C8345A"/>
    <w:rsid w:val="00C837C5"/>
    <w:rsid w:val="00C83CF3"/>
    <w:rsid w:val="00C83E09"/>
    <w:rsid w:val="00C845E2"/>
    <w:rsid w:val="00C84BF6"/>
    <w:rsid w:val="00C84EAA"/>
    <w:rsid w:val="00C876C1"/>
    <w:rsid w:val="00C90FC0"/>
    <w:rsid w:val="00C91D92"/>
    <w:rsid w:val="00C926D2"/>
    <w:rsid w:val="00C945A4"/>
    <w:rsid w:val="00C945E9"/>
    <w:rsid w:val="00C967E3"/>
    <w:rsid w:val="00CA00D8"/>
    <w:rsid w:val="00CA0D47"/>
    <w:rsid w:val="00CA0DA8"/>
    <w:rsid w:val="00CA1447"/>
    <w:rsid w:val="00CA1FE8"/>
    <w:rsid w:val="00CA4066"/>
    <w:rsid w:val="00CA553F"/>
    <w:rsid w:val="00CA6625"/>
    <w:rsid w:val="00CB01D8"/>
    <w:rsid w:val="00CB16FB"/>
    <w:rsid w:val="00CB1A91"/>
    <w:rsid w:val="00CB1E19"/>
    <w:rsid w:val="00CB1E24"/>
    <w:rsid w:val="00CB1F28"/>
    <w:rsid w:val="00CB2DDB"/>
    <w:rsid w:val="00CB3936"/>
    <w:rsid w:val="00CB4479"/>
    <w:rsid w:val="00CB70D0"/>
    <w:rsid w:val="00CC0488"/>
    <w:rsid w:val="00CC0C5E"/>
    <w:rsid w:val="00CC1AAD"/>
    <w:rsid w:val="00CC5210"/>
    <w:rsid w:val="00CC6D94"/>
    <w:rsid w:val="00CC7B89"/>
    <w:rsid w:val="00CC7EA7"/>
    <w:rsid w:val="00CD4220"/>
    <w:rsid w:val="00CD6182"/>
    <w:rsid w:val="00CD62A8"/>
    <w:rsid w:val="00CD7C54"/>
    <w:rsid w:val="00CE1F59"/>
    <w:rsid w:val="00CE24E5"/>
    <w:rsid w:val="00CE2A37"/>
    <w:rsid w:val="00CE3FEC"/>
    <w:rsid w:val="00CE45B9"/>
    <w:rsid w:val="00CE4B16"/>
    <w:rsid w:val="00CF3DA2"/>
    <w:rsid w:val="00D00DD1"/>
    <w:rsid w:val="00D02913"/>
    <w:rsid w:val="00D03736"/>
    <w:rsid w:val="00D045E2"/>
    <w:rsid w:val="00D047D0"/>
    <w:rsid w:val="00D06448"/>
    <w:rsid w:val="00D06D1A"/>
    <w:rsid w:val="00D07509"/>
    <w:rsid w:val="00D12C5A"/>
    <w:rsid w:val="00D131BB"/>
    <w:rsid w:val="00D13CF0"/>
    <w:rsid w:val="00D13F85"/>
    <w:rsid w:val="00D13FCF"/>
    <w:rsid w:val="00D1452A"/>
    <w:rsid w:val="00D228A7"/>
    <w:rsid w:val="00D23002"/>
    <w:rsid w:val="00D23872"/>
    <w:rsid w:val="00D23890"/>
    <w:rsid w:val="00D2494E"/>
    <w:rsid w:val="00D25077"/>
    <w:rsid w:val="00D25538"/>
    <w:rsid w:val="00D2568C"/>
    <w:rsid w:val="00D262E0"/>
    <w:rsid w:val="00D26E3A"/>
    <w:rsid w:val="00D30A6D"/>
    <w:rsid w:val="00D30CF8"/>
    <w:rsid w:val="00D315FA"/>
    <w:rsid w:val="00D33DB8"/>
    <w:rsid w:val="00D34EF3"/>
    <w:rsid w:val="00D42B83"/>
    <w:rsid w:val="00D434F0"/>
    <w:rsid w:val="00D443A6"/>
    <w:rsid w:val="00D52320"/>
    <w:rsid w:val="00D53583"/>
    <w:rsid w:val="00D5508C"/>
    <w:rsid w:val="00D56D35"/>
    <w:rsid w:val="00D5719B"/>
    <w:rsid w:val="00D57CF4"/>
    <w:rsid w:val="00D62E3E"/>
    <w:rsid w:val="00D63A06"/>
    <w:rsid w:val="00D657DF"/>
    <w:rsid w:val="00D65A9C"/>
    <w:rsid w:val="00D67745"/>
    <w:rsid w:val="00D67984"/>
    <w:rsid w:val="00D7004C"/>
    <w:rsid w:val="00D717CA"/>
    <w:rsid w:val="00D72CDB"/>
    <w:rsid w:val="00D734F6"/>
    <w:rsid w:val="00D75186"/>
    <w:rsid w:val="00D80F5D"/>
    <w:rsid w:val="00D82063"/>
    <w:rsid w:val="00D8258B"/>
    <w:rsid w:val="00D827D3"/>
    <w:rsid w:val="00D830DA"/>
    <w:rsid w:val="00D85561"/>
    <w:rsid w:val="00D85A0D"/>
    <w:rsid w:val="00D86D5E"/>
    <w:rsid w:val="00D87832"/>
    <w:rsid w:val="00D9208F"/>
    <w:rsid w:val="00D920F7"/>
    <w:rsid w:val="00D92276"/>
    <w:rsid w:val="00D94CEC"/>
    <w:rsid w:val="00D95595"/>
    <w:rsid w:val="00D95785"/>
    <w:rsid w:val="00D95866"/>
    <w:rsid w:val="00D961D8"/>
    <w:rsid w:val="00D97BFB"/>
    <w:rsid w:val="00DA1B03"/>
    <w:rsid w:val="00DA1BCF"/>
    <w:rsid w:val="00DA6005"/>
    <w:rsid w:val="00DA65EB"/>
    <w:rsid w:val="00DA7456"/>
    <w:rsid w:val="00DB0059"/>
    <w:rsid w:val="00DB195A"/>
    <w:rsid w:val="00DB1BE5"/>
    <w:rsid w:val="00DB1E5D"/>
    <w:rsid w:val="00DB25F7"/>
    <w:rsid w:val="00DB2AA7"/>
    <w:rsid w:val="00DB377D"/>
    <w:rsid w:val="00DB3B14"/>
    <w:rsid w:val="00DC01CD"/>
    <w:rsid w:val="00DC05BC"/>
    <w:rsid w:val="00DC073D"/>
    <w:rsid w:val="00DC1A59"/>
    <w:rsid w:val="00DC230F"/>
    <w:rsid w:val="00DC2E88"/>
    <w:rsid w:val="00DC2F5D"/>
    <w:rsid w:val="00DC3340"/>
    <w:rsid w:val="00DC47F2"/>
    <w:rsid w:val="00DC48B3"/>
    <w:rsid w:val="00DC5C7B"/>
    <w:rsid w:val="00DC70EA"/>
    <w:rsid w:val="00DC718B"/>
    <w:rsid w:val="00DD0395"/>
    <w:rsid w:val="00DD06AB"/>
    <w:rsid w:val="00DD1610"/>
    <w:rsid w:val="00DD1658"/>
    <w:rsid w:val="00DD169A"/>
    <w:rsid w:val="00DD1854"/>
    <w:rsid w:val="00DD39A1"/>
    <w:rsid w:val="00DD4578"/>
    <w:rsid w:val="00DD5BA2"/>
    <w:rsid w:val="00DD5ED7"/>
    <w:rsid w:val="00DD6BD5"/>
    <w:rsid w:val="00DD6FE9"/>
    <w:rsid w:val="00DD784C"/>
    <w:rsid w:val="00DE04B6"/>
    <w:rsid w:val="00DE465E"/>
    <w:rsid w:val="00DE5593"/>
    <w:rsid w:val="00DE63C1"/>
    <w:rsid w:val="00DE645B"/>
    <w:rsid w:val="00DE7E52"/>
    <w:rsid w:val="00DF10AF"/>
    <w:rsid w:val="00DF1566"/>
    <w:rsid w:val="00DF2379"/>
    <w:rsid w:val="00DF2D4C"/>
    <w:rsid w:val="00DF2DDD"/>
    <w:rsid w:val="00DF3905"/>
    <w:rsid w:val="00DF39C0"/>
    <w:rsid w:val="00DF3E04"/>
    <w:rsid w:val="00DF46C6"/>
    <w:rsid w:val="00DF6E26"/>
    <w:rsid w:val="00DF7FA7"/>
    <w:rsid w:val="00E0088A"/>
    <w:rsid w:val="00E00E70"/>
    <w:rsid w:val="00E010E7"/>
    <w:rsid w:val="00E030FB"/>
    <w:rsid w:val="00E03240"/>
    <w:rsid w:val="00E03FD9"/>
    <w:rsid w:val="00E068A4"/>
    <w:rsid w:val="00E07A98"/>
    <w:rsid w:val="00E14096"/>
    <w:rsid w:val="00E142E9"/>
    <w:rsid w:val="00E16885"/>
    <w:rsid w:val="00E169CC"/>
    <w:rsid w:val="00E20292"/>
    <w:rsid w:val="00E206ED"/>
    <w:rsid w:val="00E210E9"/>
    <w:rsid w:val="00E21B08"/>
    <w:rsid w:val="00E21BFA"/>
    <w:rsid w:val="00E2417F"/>
    <w:rsid w:val="00E30567"/>
    <w:rsid w:val="00E306D2"/>
    <w:rsid w:val="00E31373"/>
    <w:rsid w:val="00E3325C"/>
    <w:rsid w:val="00E339A6"/>
    <w:rsid w:val="00E34A14"/>
    <w:rsid w:val="00E37A16"/>
    <w:rsid w:val="00E40001"/>
    <w:rsid w:val="00E42AC3"/>
    <w:rsid w:val="00E4397B"/>
    <w:rsid w:val="00E44924"/>
    <w:rsid w:val="00E451E0"/>
    <w:rsid w:val="00E47A61"/>
    <w:rsid w:val="00E47A99"/>
    <w:rsid w:val="00E51B94"/>
    <w:rsid w:val="00E53CAA"/>
    <w:rsid w:val="00E5486B"/>
    <w:rsid w:val="00E54BAC"/>
    <w:rsid w:val="00E62114"/>
    <w:rsid w:val="00E63505"/>
    <w:rsid w:val="00E64E78"/>
    <w:rsid w:val="00E66A7C"/>
    <w:rsid w:val="00E7011E"/>
    <w:rsid w:val="00E709DE"/>
    <w:rsid w:val="00E7254C"/>
    <w:rsid w:val="00E730F5"/>
    <w:rsid w:val="00E73CBD"/>
    <w:rsid w:val="00E74537"/>
    <w:rsid w:val="00E75014"/>
    <w:rsid w:val="00E75110"/>
    <w:rsid w:val="00E759F5"/>
    <w:rsid w:val="00E759FB"/>
    <w:rsid w:val="00E77662"/>
    <w:rsid w:val="00E7789D"/>
    <w:rsid w:val="00E818CA"/>
    <w:rsid w:val="00E82362"/>
    <w:rsid w:val="00E824AC"/>
    <w:rsid w:val="00E82C26"/>
    <w:rsid w:val="00E834F1"/>
    <w:rsid w:val="00E86500"/>
    <w:rsid w:val="00E902AC"/>
    <w:rsid w:val="00E90E98"/>
    <w:rsid w:val="00E916EF"/>
    <w:rsid w:val="00E925D9"/>
    <w:rsid w:val="00E933AF"/>
    <w:rsid w:val="00E940B0"/>
    <w:rsid w:val="00E96E55"/>
    <w:rsid w:val="00EA1CCF"/>
    <w:rsid w:val="00EA1EB8"/>
    <w:rsid w:val="00EA280A"/>
    <w:rsid w:val="00EA39A9"/>
    <w:rsid w:val="00EA3A6C"/>
    <w:rsid w:val="00EA4686"/>
    <w:rsid w:val="00EA49EA"/>
    <w:rsid w:val="00EA5F99"/>
    <w:rsid w:val="00EA76E4"/>
    <w:rsid w:val="00EB0DB1"/>
    <w:rsid w:val="00EB2A89"/>
    <w:rsid w:val="00EB3A21"/>
    <w:rsid w:val="00EB5DB0"/>
    <w:rsid w:val="00EB7A0B"/>
    <w:rsid w:val="00EB7B2E"/>
    <w:rsid w:val="00EB7CC6"/>
    <w:rsid w:val="00EC1B84"/>
    <w:rsid w:val="00EC1EEB"/>
    <w:rsid w:val="00EC36BA"/>
    <w:rsid w:val="00EC43F8"/>
    <w:rsid w:val="00EC49D7"/>
    <w:rsid w:val="00EC55A3"/>
    <w:rsid w:val="00EC55E9"/>
    <w:rsid w:val="00EC794B"/>
    <w:rsid w:val="00ED1F9B"/>
    <w:rsid w:val="00ED6464"/>
    <w:rsid w:val="00ED7D68"/>
    <w:rsid w:val="00EE17D0"/>
    <w:rsid w:val="00EE1938"/>
    <w:rsid w:val="00EE19AD"/>
    <w:rsid w:val="00EE1F03"/>
    <w:rsid w:val="00EE217A"/>
    <w:rsid w:val="00EE381A"/>
    <w:rsid w:val="00EE4287"/>
    <w:rsid w:val="00EE62DA"/>
    <w:rsid w:val="00EE6B25"/>
    <w:rsid w:val="00EE6B65"/>
    <w:rsid w:val="00EE6D15"/>
    <w:rsid w:val="00EE7868"/>
    <w:rsid w:val="00EF0578"/>
    <w:rsid w:val="00EF06C6"/>
    <w:rsid w:val="00EF1C8A"/>
    <w:rsid w:val="00EF2DCD"/>
    <w:rsid w:val="00EF2F9F"/>
    <w:rsid w:val="00EF42E1"/>
    <w:rsid w:val="00EF4B2D"/>
    <w:rsid w:val="00EF5D46"/>
    <w:rsid w:val="00EF5D6C"/>
    <w:rsid w:val="00EF63F7"/>
    <w:rsid w:val="00F00336"/>
    <w:rsid w:val="00F0052B"/>
    <w:rsid w:val="00F01017"/>
    <w:rsid w:val="00F02418"/>
    <w:rsid w:val="00F02AAC"/>
    <w:rsid w:val="00F039D5"/>
    <w:rsid w:val="00F0413F"/>
    <w:rsid w:val="00F043F0"/>
    <w:rsid w:val="00F0458B"/>
    <w:rsid w:val="00F051F2"/>
    <w:rsid w:val="00F0576F"/>
    <w:rsid w:val="00F079CB"/>
    <w:rsid w:val="00F10662"/>
    <w:rsid w:val="00F10F2D"/>
    <w:rsid w:val="00F1106B"/>
    <w:rsid w:val="00F116F8"/>
    <w:rsid w:val="00F12453"/>
    <w:rsid w:val="00F1345A"/>
    <w:rsid w:val="00F13603"/>
    <w:rsid w:val="00F154F6"/>
    <w:rsid w:val="00F1598E"/>
    <w:rsid w:val="00F16FBC"/>
    <w:rsid w:val="00F170D5"/>
    <w:rsid w:val="00F17528"/>
    <w:rsid w:val="00F177EC"/>
    <w:rsid w:val="00F21769"/>
    <w:rsid w:val="00F22131"/>
    <w:rsid w:val="00F22263"/>
    <w:rsid w:val="00F23480"/>
    <w:rsid w:val="00F24536"/>
    <w:rsid w:val="00F26630"/>
    <w:rsid w:val="00F2701C"/>
    <w:rsid w:val="00F358C1"/>
    <w:rsid w:val="00F37C2B"/>
    <w:rsid w:val="00F413D5"/>
    <w:rsid w:val="00F41BB9"/>
    <w:rsid w:val="00F42D5B"/>
    <w:rsid w:val="00F44605"/>
    <w:rsid w:val="00F4554E"/>
    <w:rsid w:val="00F4626C"/>
    <w:rsid w:val="00F47633"/>
    <w:rsid w:val="00F514A3"/>
    <w:rsid w:val="00F525DF"/>
    <w:rsid w:val="00F5293D"/>
    <w:rsid w:val="00F52D0F"/>
    <w:rsid w:val="00F54650"/>
    <w:rsid w:val="00F5494A"/>
    <w:rsid w:val="00F550AC"/>
    <w:rsid w:val="00F570D0"/>
    <w:rsid w:val="00F623AA"/>
    <w:rsid w:val="00F6248D"/>
    <w:rsid w:val="00F6415E"/>
    <w:rsid w:val="00F65432"/>
    <w:rsid w:val="00F656CD"/>
    <w:rsid w:val="00F66038"/>
    <w:rsid w:val="00F67AE7"/>
    <w:rsid w:val="00F706A1"/>
    <w:rsid w:val="00F70E0B"/>
    <w:rsid w:val="00F71E44"/>
    <w:rsid w:val="00F736CA"/>
    <w:rsid w:val="00F75012"/>
    <w:rsid w:val="00F751A1"/>
    <w:rsid w:val="00F77B42"/>
    <w:rsid w:val="00F8106F"/>
    <w:rsid w:val="00F84196"/>
    <w:rsid w:val="00F841C2"/>
    <w:rsid w:val="00F851A3"/>
    <w:rsid w:val="00F85335"/>
    <w:rsid w:val="00F85E04"/>
    <w:rsid w:val="00F90279"/>
    <w:rsid w:val="00F90356"/>
    <w:rsid w:val="00F90791"/>
    <w:rsid w:val="00F929DD"/>
    <w:rsid w:val="00F939D6"/>
    <w:rsid w:val="00F95551"/>
    <w:rsid w:val="00F9643C"/>
    <w:rsid w:val="00F97FF2"/>
    <w:rsid w:val="00FA0C6D"/>
    <w:rsid w:val="00FA1DBD"/>
    <w:rsid w:val="00FA2FAE"/>
    <w:rsid w:val="00FA50DF"/>
    <w:rsid w:val="00FA598F"/>
    <w:rsid w:val="00FA71FD"/>
    <w:rsid w:val="00FA7748"/>
    <w:rsid w:val="00FB05CB"/>
    <w:rsid w:val="00FB0A05"/>
    <w:rsid w:val="00FB16EA"/>
    <w:rsid w:val="00FB2146"/>
    <w:rsid w:val="00FB359C"/>
    <w:rsid w:val="00FB42DE"/>
    <w:rsid w:val="00FB55FC"/>
    <w:rsid w:val="00FB5A8B"/>
    <w:rsid w:val="00FB6225"/>
    <w:rsid w:val="00FB6A87"/>
    <w:rsid w:val="00FB7BF1"/>
    <w:rsid w:val="00FC1560"/>
    <w:rsid w:val="00FC1904"/>
    <w:rsid w:val="00FC1B6D"/>
    <w:rsid w:val="00FC23DE"/>
    <w:rsid w:val="00FC2C84"/>
    <w:rsid w:val="00FC2FAC"/>
    <w:rsid w:val="00FC3F1A"/>
    <w:rsid w:val="00FC4C60"/>
    <w:rsid w:val="00FC62D7"/>
    <w:rsid w:val="00FC6901"/>
    <w:rsid w:val="00FC6C70"/>
    <w:rsid w:val="00FC7BF7"/>
    <w:rsid w:val="00FD0685"/>
    <w:rsid w:val="00FD0AB0"/>
    <w:rsid w:val="00FD1AA3"/>
    <w:rsid w:val="00FD638F"/>
    <w:rsid w:val="00FD692B"/>
    <w:rsid w:val="00FD74B7"/>
    <w:rsid w:val="00FE25E1"/>
    <w:rsid w:val="00FE3A02"/>
    <w:rsid w:val="00FE3E8C"/>
    <w:rsid w:val="00FE47C1"/>
    <w:rsid w:val="00FE51E3"/>
    <w:rsid w:val="00FE571A"/>
    <w:rsid w:val="00FE6296"/>
    <w:rsid w:val="00FE7034"/>
    <w:rsid w:val="00FE74F4"/>
    <w:rsid w:val="00FE79EC"/>
    <w:rsid w:val="00FF2EC6"/>
    <w:rsid w:val="00FF38A9"/>
    <w:rsid w:val="00FF4770"/>
    <w:rsid w:val="00FF5ED0"/>
    <w:rsid w:val="00FF62AA"/>
    <w:rsid w:val="00FF6388"/>
    <w:rsid w:val="00FF646E"/>
    <w:rsid w:val="00FF6738"/>
    <w:rsid w:val="00FF728B"/>
    <w:rsid w:val="00FF7415"/>
    <w:rsid w:val="00FF7BCC"/>
    <w:rsid w:val="00FF7C43"/>
    <w:rsid w:val="011F6F6B"/>
    <w:rsid w:val="01255DAB"/>
    <w:rsid w:val="01A132B0"/>
    <w:rsid w:val="01E32B27"/>
    <w:rsid w:val="022A40E6"/>
    <w:rsid w:val="023376A8"/>
    <w:rsid w:val="02647ACB"/>
    <w:rsid w:val="027E5598"/>
    <w:rsid w:val="02AF2C93"/>
    <w:rsid w:val="0305031A"/>
    <w:rsid w:val="032D370B"/>
    <w:rsid w:val="035028E1"/>
    <w:rsid w:val="03574481"/>
    <w:rsid w:val="039A393D"/>
    <w:rsid w:val="03F85678"/>
    <w:rsid w:val="03FB6B86"/>
    <w:rsid w:val="0406764F"/>
    <w:rsid w:val="041E7C36"/>
    <w:rsid w:val="04275B58"/>
    <w:rsid w:val="04730A42"/>
    <w:rsid w:val="0479427C"/>
    <w:rsid w:val="04894C38"/>
    <w:rsid w:val="04CF5CE0"/>
    <w:rsid w:val="050A0483"/>
    <w:rsid w:val="050E1BA2"/>
    <w:rsid w:val="052C0F3B"/>
    <w:rsid w:val="056140F6"/>
    <w:rsid w:val="05653123"/>
    <w:rsid w:val="05843B57"/>
    <w:rsid w:val="061B3BFD"/>
    <w:rsid w:val="06647286"/>
    <w:rsid w:val="06671A5F"/>
    <w:rsid w:val="06800A30"/>
    <w:rsid w:val="06837CB7"/>
    <w:rsid w:val="06A04AFD"/>
    <w:rsid w:val="06AE639F"/>
    <w:rsid w:val="07206E4C"/>
    <w:rsid w:val="07297859"/>
    <w:rsid w:val="073E0B50"/>
    <w:rsid w:val="073E57DA"/>
    <w:rsid w:val="07585CA4"/>
    <w:rsid w:val="07D21C06"/>
    <w:rsid w:val="07F84C53"/>
    <w:rsid w:val="080472CC"/>
    <w:rsid w:val="08A92C4A"/>
    <w:rsid w:val="08B41854"/>
    <w:rsid w:val="09123CDB"/>
    <w:rsid w:val="09642178"/>
    <w:rsid w:val="09CF6D93"/>
    <w:rsid w:val="0A1E2FB3"/>
    <w:rsid w:val="0A4B0665"/>
    <w:rsid w:val="0A8C5925"/>
    <w:rsid w:val="0A9A05B2"/>
    <w:rsid w:val="0ABC5A81"/>
    <w:rsid w:val="0B174F94"/>
    <w:rsid w:val="0B32416D"/>
    <w:rsid w:val="0B3E58AA"/>
    <w:rsid w:val="0B4C1A5B"/>
    <w:rsid w:val="0B855284"/>
    <w:rsid w:val="0BDD4F59"/>
    <w:rsid w:val="0BE847AE"/>
    <w:rsid w:val="0BFD09E2"/>
    <w:rsid w:val="0C2903C9"/>
    <w:rsid w:val="0C464055"/>
    <w:rsid w:val="0C5B64E0"/>
    <w:rsid w:val="0C5D4A42"/>
    <w:rsid w:val="0C5E3ED0"/>
    <w:rsid w:val="0C98584D"/>
    <w:rsid w:val="0CCF1D9B"/>
    <w:rsid w:val="0D437C5F"/>
    <w:rsid w:val="0D860E44"/>
    <w:rsid w:val="0DA66644"/>
    <w:rsid w:val="0DAD24B0"/>
    <w:rsid w:val="0DC35C76"/>
    <w:rsid w:val="0DD436A3"/>
    <w:rsid w:val="0DF05212"/>
    <w:rsid w:val="0E103E72"/>
    <w:rsid w:val="0E6101AB"/>
    <w:rsid w:val="0E615FE4"/>
    <w:rsid w:val="0E906376"/>
    <w:rsid w:val="0EAC28D7"/>
    <w:rsid w:val="0EE83248"/>
    <w:rsid w:val="0EFB64A6"/>
    <w:rsid w:val="0EFF6327"/>
    <w:rsid w:val="0F436E17"/>
    <w:rsid w:val="0F7D479B"/>
    <w:rsid w:val="0FA34942"/>
    <w:rsid w:val="10076B81"/>
    <w:rsid w:val="10272D5E"/>
    <w:rsid w:val="104C5E60"/>
    <w:rsid w:val="10916A76"/>
    <w:rsid w:val="10961363"/>
    <w:rsid w:val="10B2627D"/>
    <w:rsid w:val="10B538B0"/>
    <w:rsid w:val="11012BCB"/>
    <w:rsid w:val="11047878"/>
    <w:rsid w:val="11155CC6"/>
    <w:rsid w:val="11210102"/>
    <w:rsid w:val="115F5023"/>
    <w:rsid w:val="118909F6"/>
    <w:rsid w:val="1216373C"/>
    <w:rsid w:val="12413A4A"/>
    <w:rsid w:val="12694682"/>
    <w:rsid w:val="127104D8"/>
    <w:rsid w:val="127D3031"/>
    <w:rsid w:val="12821F75"/>
    <w:rsid w:val="129F3D60"/>
    <w:rsid w:val="12D76E3F"/>
    <w:rsid w:val="133C1AB4"/>
    <w:rsid w:val="135DC6B3"/>
    <w:rsid w:val="13F7307A"/>
    <w:rsid w:val="1416549D"/>
    <w:rsid w:val="14282B00"/>
    <w:rsid w:val="14352F46"/>
    <w:rsid w:val="14816FF0"/>
    <w:rsid w:val="14F20506"/>
    <w:rsid w:val="14F27D95"/>
    <w:rsid w:val="15284805"/>
    <w:rsid w:val="15592FA0"/>
    <w:rsid w:val="159E5A18"/>
    <w:rsid w:val="15AE5FED"/>
    <w:rsid w:val="16054206"/>
    <w:rsid w:val="1609592E"/>
    <w:rsid w:val="16262CEA"/>
    <w:rsid w:val="163D010E"/>
    <w:rsid w:val="166B6691"/>
    <w:rsid w:val="16762E43"/>
    <w:rsid w:val="16B70858"/>
    <w:rsid w:val="16CE6CE0"/>
    <w:rsid w:val="174546FD"/>
    <w:rsid w:val="17796E7F"/>
    <w:rsid w:val="177A39C0"/>
    <w:rsid w:val="17A57895"/>
    <w:rsid w:val="17F81E5E"/>
    <w:rsid w:val="18504EDB"/>
    <w:rsid w:val="187771B8"/>
    <w:rsid w:val="188F3053"/>
    <w:rsid w:val="18953CBA"/>
    <w:rsid w:val="18B51C63"/>
    <w:rsid w:val="18D1671F"/>
    <w:rsid w:val="18ED268F"/>
    <w:rsid w:val="18F33E39"/>
    <w:rsid w:val="19B95D1F"/>
    <w:rsid w:val="19C53D62"/>
    <w:rsid w:val="19C7479B"/>
    <w:rsid w:val="19EA3F33"/>
    <w:rsid w:val="19EE4D32"/>
    <w:rsid w:val="1A0F4B88"/>
    <w:rsid w:val="1A3F6126"/>
    <w:rsid w:val="1A5239F3"/>
    <w:rsid w:val="1AD27A91"/>
    <w:rsid w:val="1B5050BD"/>
    <w:rsid w:val="1B8456CD"/>
    <w:rsid w:val="1B8721A2"/>
    <w:rsid w:val="1BB0790B"/>
    <w:rsid w:val="1BE72A3D"/>
    <w:rsid w:val="1C1B41DE"/>
    <w:rsid w:val="1C253DF6"/>
    <w:rsid w:val="1C6D17F4"/>
    <w:rsid w:val="1C760F1A"/>
    <w:rsid w:val="1C7C5E86"/>
    <w:rsid w:val="1CE677B2"/>
    <w:rsid w:val="1D082AB6"/>
    <w:rsid w:val="1D2759C3"/>
    <w:rsid w:val="1DA837D0"/>
    <w:rsid w:val="1DC5138B"/>
    <w:rsid w:val="1DD71482"/>
    <w:rsid w:val="1DE642CA"/>
    <w:rsid w:val="1E2E0201"/>
    <w:rsid w:val="1E350A16"/>
    <w:rsid w:val="1E3C7AA5"/>
    <w:rsid w:val="1EAB1C10"/>
    <w:rsid w:val="1EAE7686"/>
    <w:rsid w:val="1F180D94"/>
    <w:rsid w:val="1F1B07BB"/>
    <w:rsid w:val="1F405BAA"/>
    <w:rsid w:val="1F405CB7"/>
    <w:rsid w:val="1FE56AE0"/>
    <w:rsid w:val="1FEE01B9"/>
    <w:rsid w:val="1FF6694C"/>
    <w:rsid w:val="200274D4"/>
    <w:rsid w:val="20147466"/>
    <w:rsid w:val="20C56281"/>
    <w:rsid w:val="20E001A0"/>
    <w:rsid w:val="20F649D2"/>
    <w:rsid w:val="214F0FE4"/>
    <w:rsid w:val="21813FCE"/>
    <w:rsid w:val="219F1F76"/>
    <w:rsid w:val="224261ED"/>
    <w:rsid w:val="226B20DA"/>
    <w:rsid w:val="22711192"/>
    <w:rsid w:val="22B62F93"/>
    <w:rsid w:val="22E0795D"/>
    <w:rsid w:val="23100E64"/>
    <w:rsid w:val="231065AB"/>
    <w:rsid w:val="23813715"/>
    <w:rsid w:val="23944D5B"/>
    <w:rsid w:val="23A87290"/>
    <w:rsid w:val="23EE48D2"/>
    <w:rsid w:val="24624E5F"/>
    <w:rsid w:val="247B2168"/>
    <w:rsid w:val="24A25521"/>
    <w:rsid w:val="24C2467D"/>
    <w:rsid w:val="24C7425D"/>
    <w:rsid w:val="257357D0"/>
    <w:rsid w:val="25735D83"/>
    <w:rsid w:val="258F7CFA"/>
    <w:rsid w:val="25A27D81"/>
    <w:rsid w:val="25B43B0A"/>
    <w:rsid w:val="25B62269"/>
    <w:rsid w:val="2642189C"/>
    <w:rsid w:val="265253F1"/>
    <w:rsid w:val="26715988"/>
    <w:rsid w:val="26B068DB"/>
    <w:rsid w:val="26D210F8"/>
    <w:rsid w:val="27015251"/>
    <w:rsid w:val="27654ECA"/>
    <w:rsid w:val="27CB7783"/>
    <w:rsid w:val="27E3087F"/>
    <w:rsid w:val="27F86BD3"/>
    <w:rsid w:val="281065D8"/>
    <w:rsid w:val="281465D9"/>
    <w:rsid w:val="28546C79"/>
    <w:rsid w:val="2890307C"/>
    <w:rsid w:val="291037A0"/>
    <w:rsid w:val="292610A6"/>
    <w:rsid w:val="29991FC8"/>
    <w:rsid w:val="29E5616B"/>
    <w:rsid w:val="2A0C1DE7"/>
    <w:rsid w:val="2A4571BF"/>
    <w:rsid w:val="2A815613"/>
    <w:rsid w:val="2B0C5A39"/>
    <w:rsid w:val="2B2C22AD"/>
    <w:rsid w:val="2B467C0B"/>
    <w:rsid w:val="2B540C9A"/>
    <w:rsid w:val="2B7147F1"/>
    <w:rsid w:val="2B9A2D74"/>
    <w:rsid w:val="2C283E3B"/>
    <w:rsid w:val="2C782B24"/>
    <w:rsid w:val="2C9A2EBA"/>
    <w:rsid w:val="2CB7526F"/>
    <w:rsid w:val="2CCF1054"/>
    <w:rsid w:val="2CFF40A9"/>
    <w:rsid w:val="2D034468"/>
    <w:rsid w:val="2D04231A"/>
    <w:rsid w:val="2D0471CB"/>
    <w:rsid w:val="2D4A363E"/>
    <w:rsid w:val="2D597893"/>
    <w:rsid w:val="2DCA4054"/>
    <w:rsid w:val="2DD332BF"/>
    <w:rsid w:val="2E201D16"/>
    <w:rsid w:val="2E7C58B2"/>
    <w:rsid w:val="2E8C32FA"/>
    <w:rsid w:val="2EA45088"/>
    <w:rsid w:val="2EAA7FD8"/>
    <w:rsid w:val="2F371265"/>
    <w:rsid w:val="2F3A2265"/>
    <w:rsid w:val="2F415D2E"/>
    <w:rsid w:val="2F5F23E2"/>
    <w:rsid w:val="2FDC0D17"/>
    <w:rsid w:val="2FF90BD1"/>
    <w:rsid w:val="30143FB0"/>
    <w:rsid w:val="30193B74"/>
    <w:rsid w:val="30761478"/>
    <w:rsid w:val="308217E3"/>
    <w:rsid w:val="308D52A2"/>
    <w:rsid w:val="30B56207"/>
    <w:rsid w:val="31134805"/>
    <w:rsid w:val="313910B2"/>
    <w:rsid w:val="31BA7C70"/>
    <w:rsid w:val="31E57B26"/>
    <w:rsid w:val="31EE28F9"/>
    <w:rsid w:val="31F74E90"/>
    <w:rsid w:val="32031C1E"/>
    <w:rsid w:val="32526020"/>
    <w:rsid w:val="32662E0F"/>
    <w:rsid w:val="32791F99"/>
    <w:rsid w:val="32856087"/>
    <w:rsid w:val="32BB3EF0"/>
    <w:rsid w:val="33391F9C"/>
    <w:rsid w:val="335B663E"/>
    <w:rsid w:val="337D233F"/>
    <w:rsid w:val="33B759EC"/>
    <w:rsid w:val="33B82EE9"/>
    <w:rsid w:val="33B92ED8"/>
    <w:rsid w:val="33CF1C4C"/>
    <w:rsid w:val="33D51B11"/>
    <w:rsid w:val="33D96F83"/>
    <w:rsid w:val="33DB52CD"/>
    <w:rsid w:val="33F072F9"/>
    <w:rsid w:val="34024D7C"/>
    <w:rsid w:val="344870EA"/>
    <w:rsid w:val="34973DB5"/>
    <w:rsid w:val="34AB37D1"/>
    <w:rsid w:val="34B9337B"/>
    <w:rsid w:val="34CB281A"/>
    <w:rsid w:val="353B3486"/>
    <w:rsid w:val="354E18C5"/>
    <w:rsid w:val="35773EAF"/>
    <w:rsid w:val="358804E0"/>
    <w:rsid w:val="3596399C"/>
    <w:rsid w:val="35C1633E"/>
    <w:rsid w:val="35E55E93"/>
    <w:rsid w:val="36134242"/>
    <w:rsid w:val="365454AB"/>
    <w:rsid w:val="36574FE4"/>
    <w:rsid w:val="36EB1843"/>
    <w:rsid w:val="373C1CD5"/>
    <w:rsid w:val="375E2B9A"/>
    <w:rsid w:val="376829CE"/>
    <w:rsid w:val="377C0AA2"/>
    <w:rsid w:val="37B6647E"/>
    <w:rsid w:val="37B833F9"/>
    <w:rsid w:val="37CB0663"/>
    <w:rsid w:val="37FD1E60"/>
    <w:rsid w:val="384E4F7B"/>
    <w:rsid w:val="38693EEC"/>
    <w:rsid w:val="387B13DB"/>
    <w:rsid w:val="387B15A1"/>
    <w:rsid w:val="38F22E43"/>
    <w:rsid w:val="39053DE5"/>
    <w:rsid w:val="39072FAC"/>
    <w:rsid w:val="395E6909"/>
    <w:rsid w:val="39C54B7B"/>
    <w:rsid w:val="3A0954F1"/>
    <w:rsid w:val="3A2F26E4"/>
    <w:rsid w:val="3AA23876"/>
    <w:rsid w:val="3AFD23D0"/>
    <w:rsid w:val="3B360A0A"/>
    <w:rsid w:val="3BDA3B75"/>
    <w:rsid w:val="3C795515"/>
    <w:rsid w:val="3CAA2D2C"/>
    <w:rsid w:val="3CDE2382"/>
    <w:rsid w:val="3D1B72D5"/>
    <w:rsid w:val="3D44180B"/>
    <w:rsid w:val="3D573493"/>
    <w:rsid w:val="3E1C38F9"/>
    <w:rsid w:val="3E2A3A97"/>
    <w:rsid w:val="3E400356"/>
    <w:rsid w:val="3E5A007B"/>
    <w:rsid w:val="3EA92C04"/>
    <w:rsid w:val="3EAB1FAD"/>
    <w:rsid w:val="3EB97AFB"/>
    <w:rsid w:val="3EE95EB5"/>
    <w:rsid w:val="3EEE3096"/>
    <w:rsid w:val="3F536C9E"/>
    <w:rsid w:val="3F610BA3"/>
    <w:rsid w:val="3F9A76AA"/>
    <w:rsid w:val="3F9B0326"/>
    <w:rsid w:val="3FB21F0F"/>
    <w:rsid w:val="3FC23E08"/>
    <w:rsid w:val="3FE874A0"/>
    <w:rsid w:val="403C3F65"/>
    <w:rsid w:val="40407880"/>
    <w:rsid w:val="405E119A"/>
    <w:rsid w:val="41217E54"/>
    <w:rsid w:val="412A4CB9"/>
    <w:rsid w:val="416F4EFA"/>
    <w:rsid w:val="41745F4D"/>
    <w:rsid w:val="425A08E7"/>
    <w:rsid w:val="427E4087"/>
    <w:rsid w:val="42926C24"/>
    <w:rsid w:val="429F181F"/>
    <w:rsid w:val="42B32B18"/>
    <w:rsid w:val="42C80346"/>
    <w:rsid w:val="431E4124"/>
    <w:rsid w:val="4368242E"/>
    <w:rsid w:val="43C02C0B"/>
    <w:rsid w:val="43D66139"/>
    <w:rsid w:val="444A1075"/>
    <w:rsid w:val="446C3A5D"/>
    <w:rsid w:val="44893A73"/>
    <w:rsid w:val="44A951C6"/>
    <w:rsid w:val="44E34822"/>
    <w:rsid w:val="450C5DEA"/>
    <w:rsid w:val="45381CE3"/>
    <w:rsid w:val="456942BF"/>
    <w:rsid w:val="456E75FF"/>
    <w:rsid w:val="45971FE5"/>
    <w:rsid w:val="45B214BB"/>
    <w:rsid w:val="45B85478"/>
    <w:rsid w:val="45DF4475"/>
    <w:rsid w:val="46BB46AE"/>
    <w:rsid w:val="46F501DB"/>
    <w:rsid w:val="470A55AB"/>
    <w:rsid w:val="47252E10"/>
    <w:rsid w:val="477144CA"/>
    <w:rsid w:val="47AD0064"/>
    <w:rsid w:val="47C3769A"/>
    <w:rsid w:val="47D2088A"/>
    <w:rsid w:val="47E14D52"/>
    <w:rsid w:val="481C4376"/>
    <w:rsid w:val="488F18D1"/>
    <w:rsid w:val="489951F1"/>
    <w:rsid w:val="48996229"/>
    <w:rsid w:val="48C029C6"/>
    <w:rsid w:val="48E97441"/>
    <w:rsid w:val="48FA52B8"/>
    <w:rsid w:val="493B537D"/>
    <w:rsid w:val="498410A2"/>
    <w:rsid w:val="499070B0"/>
    <w:rsid w:val="49B56102"/>
    <w:rsid w:val="49CB1F9D"/>
    <w:rsid w:val="49F577B2"/>
    <w:rsid w:val="4A203392"/>
    <w:rsid w:val="4A3D7A50"/>
    <w:rsid w:val="4A794BC9"/>
    <w:rsid w:val="4ACA6C9B"/>
    <w:rsid w:val="4AD23593"/>
    <w:rsid w:val="4AEB79EF"/>
    <w:rsid w:val="4AFE2F1F"/>
    <w:rsid w:val="4B021621"/>
    <w:rsid w:val="4B134268"/>
    <w:rsid w:val="4B21229E"/>
    <w:rsid w:val="4B8D4118"/>
    <w:rsid w:val="4BA4701C"/>
    <w:rsid w:val="4BA76440"/>
    <w:rsid w:val="4BB3173A"/>
    <w:rsid w:val="4BC1638B"/>
    <w:rsid w:val="4C563ABA"/>
    <w:rsid w:val="4C914C62"/>
    <w:rsid w:val="4CD3017C"/>
    <w:rsid w:val="4CF81F47"/>
    <w:rsid w:val="4CFF626C"/>
    <w:rsid w:val="4D086E4A"/>
    <w:rsid w:val="4D2301C3"/>
    <w:rsid w:val="4D3A108F"/>
    <w:rsid w:val="4D4C7BB1"/>
    <w:rsid w:val="4DFD2BFF"/>
    <w:rsid w:val="4E1263C9"/>
    <w:rsid w:val="4E481531"/>
    <w:rsid w:val="4E622CFB"/>
    <w:rsid w:val="4E7D55A0"/>
    <w:rsid w:val="4EA50D09"/>
    <w:rsid w:val="4F971B80"/>
    <w:rsid w:val="50290B2B"/>
    <w:rsid w:val="50606EAB"/>
    <w:rsid w:val="508C44DA"/>
    <w:rsid w:val="50981516"/>
    <w:rsid w:val="50FE14BB"/>
    <w:rsid w:val="510305E3"/>
    <w:rsid w:val="511B233A"/>
    <w:rsid w:val="51443826"/>
    <w:rsid w:val="515C033A"/>
    <w:rsid w:val="516C68B9"/>
    <w:rsid w:val="51A1515C"/>
    <w:rsid w:val="51BB5533"/>
    <w:rsid w:val="526B68F3"/>
    <w:rsid w:val="528E40AB"/>
    <w:rsid w:val="52B81CCE"/>
    <w:rsid w:val="52E02031"/>
    <w:rsid w:val="52F818BA"/>
    <w:rsid w:val="52FF1A12"/>
    <w:rsid w:val="53015161"/>
    <w:rsid w:val="534B2A7A"/>
    <w:rsid w:val="534B5E45"/>
    <w:rsid w:val="54215D12"/>
    <w:rsid w:val="544D254E"/>
    <w:rsid w:val="548A2E43"/>
    <w:rsid w:val="5497693C"/>
    <w:rsid w:val="54AA3BF5"/>
    <w:rsid w:val="55174035"/>
    <w:rsid w:val="552D10FE"/>
    <w:rsid w:val="55A66213"/>
    <w:rsid w:val="55BA5A58"/>
    <w:rsid w:val="55BC40C7"/>
    <w:rsid w:val="55EE02E5"/>
    <w:rsid w:val="5623168E"/>
    <w:rsid w:val="563B056A"/>
    <w:rsid w:val="564A38AE"/>
    <w:rsid w:val="568C4868"/>
    <w:rsid w:val="56C3025C"/>
    <w:rsid w:val="56F521D3"/>
    <w:rsid w:val="57124953"/>
    <w:rsid w:val="571402DB"/>
    <w:rsid w:val="57817532"/>
    <w:rsid w:val="57882DF9"/>
    <w:rsid w:val="579C0C24"/>
    <w:rsid w:val="57B45662"/>
    <w:rsid w:val="583B7E73"/>
    <w:rsid w:val="583F1A2E"/>
    <w:rsid w:val="58487726"/>
    <w:rsid w:val="58633B93"/>
    <w:rsid w:val="58884699"/>
    <w:rsid w:val="58944865"/>
    <w:rsid w:val="58B55914"/>
    <w:rsid w:val="58DC44EC"/>
    <w:rsid w:val="58DE704E"/>
    <w:rsid w:val="58FB21AD"/>
    <w:rsid w:val="5961164A"/>
    <w:rsid w:val="59860C05"/>
    <w:rsid w:val="59943068"/>
    <w:rsid w:val="59B30690"/>
    <w:rsid w:val="59B901A3"/>
    <w:rsid w:val="59DC3A97"/>
    <w:rsid w:val="5A063F6D"/>
    <w:rsid w:val="5A451AA4"/>
    <w:rsid w:val="5A783091"/>
    <w:rsid w:val="5A807947"/>
    <w:rsid w:val="5AAA5D5F"/>
    <w:rsid w:val="5ADF1F34"/>
    <w:rsid w:val="5AF02D2C"/>
    <w:rsid w:val="5AFD5A55"/>
    <w:rsid w:val="5B726262"/>
    <w:rsid w:val="5B726F33"/>
    <w:rsid w:val="5BA64BE9"/>
    <w:rsid w:val="5BC62D51"/>
    <w:rsid w:val="5BC75C70"/>
    <w:rsid w:val="5C0A0DE2"/>
    <w:rsid w:val="5C6F300E"/>
    <w:rsid w:val="5C743D3B"/>
    <w:rsid w:val="5C8D7DD5"/>
    <w:rsid w:val="5CBA3C7F"/>
    <w:rsid w:val="5CF018D1"/>
    <w:rsid w:val="5D1E53DF"/>
    <w:rsid w:val="5D201837"/>
    <w:rsid w:val="5D2506CF"/>
    <w:rsid w:val="5D4230C1"/>
    <w:rsid w:val="5D95CDAD"/>
    <w:rsid w:val="5DB14E38"/>
    <w:rsid w:val="5DFD36BA"/>
    <w:rsid w:val="5E6418C4"/>
    <w:rsid w:val="5EC04780"/>
    <w:rsid w:val="5ECB1F00"/>
    <w:rsid w:val="5F092881"/>
    <w:rsid w:val="5F166E2C"/>
    <w:rsid w:val="5F1C1D42"/>
    <w:rsid w:val="5F7B0794"/>
    <w:rsid w:val="5FB257B5"/>
    <w:rsid w:val="5FFA35D3"/>
    <w:rsid w:val="5FFB520A"/>
    <w:rsid w:val="60034F8E"/>
    <w:rsid w:val="601C1594"/>
    <w:rsid w:val="60266549"/>
    <w:rsid w:val="60442D0A"/>
    <w:rsid w:val="60560E39"/>
    <w:rsid w:val="605E2760"/>
    <w:rsid w:val="607078A8"/>
    <w:rsid w:val="60A2143D"/>
    <w:rsid w:val="60B25E93"/>
    <w:rsid w:val="60B36C9A"/>
    <w:rsid w:val="61071601"/>
    <w:rsid w:val="61093D1C"/>
    <w:rsid w:val="614C2E61"/>
    <w:rsid w:val="617E3704"/>
    <w:rsid w:val="61A8754C"/>
    <w:rsid w:val="61B80B3B"/>
    <w:rsid w:val="61C45530"/>
    <w:rsid w:val="61D320E9"/>
    <w:rsid w:val="61D9161D"/>
    <w:rsid w:val="62030D78"/>
    <w:rsid w:val="6223445F"/>
    <w:rsid w:val="625B2285"/>
    <w:rsid w:val="62A46A59"/>
    <w:rsid w:val="62DD764B"/>
    <w:rsid w:val="630A2374"/>
    <w:rsid w:val="635B669C"/>
    <w:rsid w:val="63783D0E"/>
    <w:rsid w:val="639F4EFC"/>
    <w:rsid w:val="63B65ED8"/>
    <w:rsid w:val="63D559DE"/>
    <w:rsid w:val="63F54280"/>
    <w:rsid w:val="64004596"/>
    <w:rsid w:val="646F57C6"/>
    <w:rsid w:val="64FF32FF"/>
    <w:rsid w:val="651D508B"/>
    <w:rsid w:val="65301E12"/>
    <w:rsid w:val="656658F0"/>
    <w:rsid w:val="65DE2D6B"/>
    <w:rsid w:val="666D4E31"/>
    <w:rsid w:val="66EE5021"/>
    <w:rsid w:val="67284C17"/>
    <w:rsid w:val="678536F8"/>
    <w:rsid w:val="68142429"/>
    <w:rsid w:val="6814393B"/>
    <w:rsid w:val="6905694A"/>
    <w:rsid w:val="690704DE"/>
    <w:rsid w:val="69101904"/>
    <w:rsid w:val="69882330"/>
    <w:rsid w:val="6993340C"/>
    <w:rsid w:val="69A61361"/>
    <w:rsid w:val="69AB541E"/>
    <w:rsid w:val="69EF449F"/>
    <w:rsid w:val="6A247160"/>
    <w:rsid w:val="6A417C17"/>
    <w:rsid w:val="6A5E3E12"/>
    <w:rsid w:val="6A8D064F"/>
    <w:rsid w:val="6A9369F9"/>
    <w:rsid w:val="6AD227D9"/>
    <w:rsid w:val="6AD23948"/>
    <w:rsid w:val="6B0A7C17"/>
    <w:rsid w:val="6B632610"/>
    <w:rsid w:val="6B8B2600"/>
    <w:rsid w:val="6BAD1CCE"/>
    <w:rsid w:val="6BD33FBC"/>
    <w:rsid w:val="6BE50FF4"/>
    <w:rsid w:val="6C3D4791"/>
    <w:rsid w:val="6C9D4150"/>
    <w:rsid w:val="6CB13547"/>
    <w:rsid w:val="6CB749F1"/>
    <w:rsid w:val="6CDC1D4E"/>
    <w:rsid w:val="6CFA1CDB"/>
    <w:rsid w:val="6DA02E04"/>
    <w:rsid w:val="6DB3002B"/>
    <w:rsid w:val="6DC30420"/>
    <w:rsid w:val="6DE15DC1"/>
    <w:rsid w:val="6DE832C0"/>
    <w:rsid w:val="6E294885"/>
    <w:rsid w:val="6E3050C3"/>
    <w:rsid w:val="6E43295D"/>
    <w:rsid w:val="6E4D55F0"/>
    <w:rsid w:val="6E5F0AA0"/>
    <w:rsid w:val="6E6B1AAA"/>
    <w:rsid w:val="6E773B19"/>
    <w:rsid w:val="6E8F583E"/>
    <w:rsid w:val="6F1B7BD5"/>
    <w:rsid w:val="6F946EE8"/>
    <w:rsid w:val="6F9D2A27"/>
    <w:rsid w:val="6FD345DD"/>
    <w:rsid w:val="6FDB386C"/>
    <w:rsid w:val="70760D3F"/>
    <w:rsid w:val="70CC0A40"/>
    <w:rsid w:val="70D63A72"/>
    <w:rsid w:val="716466CA"/>
    <w:rsid w:val="71823EB3"/>
    <w:rsid w:val="7183046F"/>
    <w:rsid w:val="71924C58"/>
    <w:rsid w:val="71D0281D"/>
    <w:rsid w:val="72147107"/>
    <w:rsid w:val="72434A4A"/>
    <w:rsid w:val="72B42F7A"/>
    <w:rsid w:val="72BC2228"/>
    <w:rsid w:val="7361610A"/>
    <w:rsid w:val="73DDDDB0"/>
    <w:rsid w:val="73ED040E"/>
    <w:rsid w:val="74347963"/>
    <w:rsid w:val="745778C8"/>
    <w:rsid w:val="74641C7D"/>
    <w:rsid w:val="74B23CA0"/>
    <w:rsid w:val="75231EA0"/>
    <w:rsid w:val="75860E4E"/>
    <w:rsid w:val="75AA1381"/>
    <w:rsid w:val="75AE6B1C"/>
    <w:rsid w:val="762E78F9"/>
    <w:rsid w:val="76C810F6"/>
    <w:rsid w:val="773964DE"/>
    <w:rsid w:val="77403219"/>
    <w:rsid w:val="774E4155"/>
    <w:rsid w:val="77FC1D4F"/>
    <w:rsid w:val="783C0FA0"/>
    <w:rsid w:val="788E5B68"/>
    <w:rsid w:val="78B8242D"/>
    <w:rsid w:val="78E41252"/>
    <w:rsid w:val="79164D7B"/>
    <w:rsid w:val="79420019"/>
    <w:rsid w:val="79A64887"/>
    <w:rsid w:val="79B8725C"/>
    <w:rsid w:val="79BC4DC1"/>
    <w:rsid w:val="79C45B36"/>
    <w:rsid w:val="79CB1F60"/>
    <w:rsid w:val="7A095D50"/>
    <w:rsid w:val="7A323193"/>
    <w:rsid w:val="7AC030FD"/>
    <w:rsid w:val="7ACF03C3"/>
    <w:rsid w:val="7ADA7AF8"/>
    <w:rsid w:val="7AE665B4"/>
    <w:rsid w:val="7AFB0496"/>
    <w:rsid w:val="7B4C5A15"/>
    <w:rsid w:val="7B4D2A00"/>
    <w:rsid w:val="7B576904"/>
    <w:rsid w:val="7B7B5CE3"/>
    <w:rsid w:val="7BAA1CE2"/>
    <w:rsid w:val="7BBD0A14"/>
    <w:rsid w:val="7C865EAB"/>
    <w:rsid w:val="7CB94042"/>
    <w:rsid w:val="7CE33F15"/>
    <w:rsid w:val="7D033757"/>
    <w:rsid w:val="7D3B073D"/>
    <w:rsid w:val="7D5855D8"/>
    <w:rsid w:val="7D5E0842"/>
    <w:rsid w:val="7D7A4286"/>
    <w:rsid w:val="7D7E28F2"/>
    <w:rsid w:val="7DD140A8"/>
    <w:rsid w:val="7DE955F0"/>
    <w:rsid w:val="7DEF2C63"/>
    <w:rsid w:val="7DFD02EE"/>
    <w:rsid w:val="7E22382B"/>
    <w:rsid w:val="7E37749D"/>
    <w:rsid w:val="7E403E16"/>
    <w:rsid w:val="7E4E34EE"/>
    <w:rsid w:val="7EC1142B"/>
    <w:rsid w:val="7F25272B"/>
    <w:rsid w:val="7F6C38EC"/>
    <w:rsid w:val="7F7FB1D1"/>
    <w:rsid w:val="7FFD23B2"/>
    <w:rsid w:val="7FFD4819"/>
    <w:rsid w:val="9B3F4DF6"/>
    <w:rsid w:val="B3FFE78C"/>
    <w:rsid w:val="B6EDEAE2"/>
    <w:rsid w:val="CEBD870D"/>
    <w:rsid w:val="DBFD2AB5"/>
    <w:rsid w:val="EDFFE57F"/>
    <w:rsid w:val="FA3F2068"/>
    <w:rsid w:val="FBDFDDB4"/>
    <w:rsid w:val="FFDFAC77"/>
    <w:rsid w:val="FFE3F632"/>
    <w:rsid w:val="FFEDE74A"/>
    <w:rsid w:val="FFFE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DengXian" w:cs="Times New Roman"/>
      <w:sz w:val="22"/>
      <w:szCs w:val="22"/>
      <w:lang w:val="en-US" w:eastAsia="zh-CN" w:bidi="ar-SA"/>
    </w:rPr>
  </w:style>
  <w:style w:type="paragraph" w:styleId="2">
    <w:name w:val="heading 1"/>
    <w:basedOn w:val="3"/>
    <w:next w:val="1"/>
    <w:link w:val="28"/>
    <w:qFormat/>
    <w:uiPriority w:val="0"/>
    <w:pPr>
      <w:spacing w:before="120" w:after="120"/>
      <w:jc w:val="center"/>
      <w:outlineLvl w:val="0"/>
    </w:pPr>
    <w:rPr>
      <w:caps/>
      <w:sz w:val="44"/>
    </w:rPr>
  </w:style>
  <w:style w:type="paragraph" w:styleId="3">
    <w:name w:val="heading 2"/>
    <w:basedOn w:val="4"/>
    <w:next w:val="1"/>
    <w:link w:val="27"/>
    <w:qFormat/>
    <w:uiPriority w:val="0"/>
    <w:pPr>
      <w:keepNext w:val="0"/>
      <w:keepLines w:val="0"/>
      <w:widowControl w:val="0"/>
      <w:spacing w:before="0" w:after="0" w:line="240" w:lineRule="auto"/>
      <w:ind w:right="0" w:firstLine="600" w:firstLineChars="200"/>
      <w:jc w:val="left"/>
      <w:outlineLvl w:val="1"/>
    </w:pPr>
    <w:rPr>
      <w:rFonts w:ascii="黑体" w:hAnsi="黑体" w:eastAsia="黑体"/>
      <w:bCs w:val="0"/>
      <w:smallCaps/>
      <w:color w:val="auto"/>
      <w:sz w:val="30"/>
      <w:szCs w:val="30"/>
    </w:rPr>
  </w:style>
  <w:style w:type="paragraph" w:styleId="4">
    <w:name w:val="heading 3"/>
    <w:basedOn w:val="5"/>
    <w:next w:val="1"/>
    <w:link w:val="26"/>
    <w:qFormat/>
    <w:uiPriority w:val="0"/>
    <w:pPr>
      <w:keepNext/>
      <w:keepLines/>
      <w:spacing w:before="320" w:after="120" w:line="276" w:lineRule="auto"/>
      <w:ind w:right="-13"/>
      <w:jc w:val="both"/>
      <w:outlineLvl w:val="2"/>
    </w:pPr>
    <w:rPr>
      <w:rFonts w:ascii="Calibri Light" w:hAnsi="Calibri Light" w:eastAsia="宋体"/>
      <w:bCs/>
      <w:color w:val="C45911"/>
      <w:kern w:val="2"/>
      <w:sz w:val="24"/>
    </w:rPr>
  </w:style>
  <w:style w:type="paragraph" w:styleId="6">
    <w:name w:val="heading 4"/>
    <w:basedOn w:val="1"/>
    <w:next w:val="1"/>
    <w:link w:val="29"/>
    <w:qFormat/>
    <w:uiPriority w:val="0"/>
    <w:pPr>
      <w:keepNext/>
      <w:keepLines/>
      <w:spacing w:before="320" w:after="120" w:line="276" w:lineRule="auto"/>
      <w:ind w:right="-13"/>
      <w:jc w:val="both"/>
      <w:outlineLvl w:val="3"/>
    </w:pPr>
    <w:rPr>
      <w:rFonts w:ascii="宋体" w:hAnsi="宋体" w:eastAsia="宋体"/>
      <w:bCs/>
      <w:iCs/>
      <w:color w:val="C45911"/>
      <w:kern w:val="2"/>
    </w:rPr>
  </w:style>
  <w:style w:type="paragraph" w:styleId="7">
    <w:name w:val="heading 5"/>
    <w:basedOn w:val="1"/>
    <w:next w:val="1"/>
    <w:link w:val="30"/>
    <w:qFormat/>
    <w:uiPriority w:val="0"/>
    <w:pPr>
      <w:keepNext/>
      <w:keepLines/>
      <w:spacing w:before="280" w:after="290" w:line="376" w:lineRule="auto"/>
      <w:ind w:right="-13"/>
      <w:jc w:val="both"/>
      <w:outlineLvl w:val="4"/>
    </w:pPr>
    <w:rPr>
      <w:rFonts w:ascii="宋体" w:hAnsi="宋体"/>
      <w:b/>
      <w:bCs/>
      <w:color w:val="C45911"/>
      <w:kern w:val="2"/>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2"/>
    <w:basedOn w:val="1"/>
    <w:next w:val="1"/>
    <w:semiHidden/>
    <w:unhideWhenUsed/>
    <w:qFormat/>
    <w:uiPriority w:val="39"/>
    <w:pPr>
      <w:ind w:left="420" w:leftChars="200"/>
    </w:pPr>
  </w:style>
  <w:style w:type="paragraph" w:styleId="8">
    <w:name w:val="Document Map"/>
    <w:basedOn w:val="1"/>
    <w:link w:val="31"/>
    <w:semiHidden/>
    <w:qFormat/>
    <w:uiPriority w:val="0"/>
    <w:pPr>
      <w:widowControl w:val="0"/>
      <w:spacing w:after="0" w:line="240" w:lineRule="auto"/>
      <w:jc w:val="both"/>
    </w:pPr>
    <w:rPr>
      <w:rFonts w:ascii="宋体" w:eastAsia="宋体"/>
      <w:kern w:val="2"/>
      <w:sz w:val="18"/>
      <w:szCs w:val="18"/>
    </w:rPr>
  </w:style>
  <w:style w:type="paragraph" w:styleId="9">
    <w:name w:val="annotation text"/>
    <w:basedOn w:val="1"/>
    <w:link w:val="32"/>
    <w:unhideWhenUsed/>
    <w:qFormat/>
    <w:uiPriority w:val="99"/>
    <w:pPr>
      <w:widowControl w:val="0"/>
      <w:spacing w:after="0" w:line="240" w:lineRule="auto"/>
    </w:pPr>
    <w:rPr>
      <w:rFonts w:eastAsia="宋体"/>
      <w:kern w:val="2"/>
      <w:sz w:val="21"/>
      <w:szCs w:val="20"/>
    </w:rPr>
  </w:style>
  <w:style w:type="paragraph" w:styleId="10">
    <w:name w:val="Body Text"/>
    <w:basedOn w:val="1"/>
    <w:link w:val="33"/>
    <w:unhideWhenUsed/>
    <w:qFormat/>
    <w:uiPriority w:val="0"/>
    <w:pPr>
      <w:spacing w:after="120"/>
    </w:pPr>
  </w:style>
  <w:style w:type="paragraph" w:styleId="11">
    <w:name w:val="Body Text Indent"/>
    <w:basedOn w:val="1"/>
    <w:link w:val="34"/>
    <w:qFormat/>
    <w:uiPriority w:val="0"/>
    <w:pPr>
      <w:widowControl w:val="0"/>
      <w:spacing w:after="120" w:line="240" w:lineRule="auto"/>
      <w:ind w:left="420" w:leftChars="200"/>
      <w:jc w:val="both"/>
    </w:pPr>
    <w:rPr>
      <w:rFonts w:eastAsia="宋体"/>
      <w:kern w:val="2"/>
      <w:sz w:val="24"/>
      <w:szCs w:val="20"/>
    </w:rPr>
  </w:style>
  <w:style w:type="paragraph" w:styleId="12">
    <w:name w:val="Date"/>
    <w:basedOn w:val="1"/>
    <w:next w:val="1"/>
    <w:link w:val="35"/>
    <w:unhideWhenUsed/>
    <w:qFormat/>
    <w:uiPriority w:val="99"/>
    <w:pPr>
      <w:widowControl w:val="0"/>
      <w:spacing w:after="0" w:line="240" w:lineRule="auto"/>
      <w:ind w:left="2500" w:leftChars="2500"/>
      <w:jc w:val="both"/>
    </w:pPr>
    <w:rPr>
      <w:rFonts w:ascii="Verdana" w:hAnsi="Verdana" w:eastAsia="宋体"/>
      <w:sz w:val="20"/>
      <w:szCs w:val="24"/>
      <w:lang w:eastAsia="en-US"/>
    </w:rPr>
  </w:style>
  <w:style w:type="paragraph" w:styleId="13">
    <w:name w:val="Balloon Text"/>
    <w:basedOn w:val="1"/>
    <w:link w:val="36"/>
    <w:unhideWhenUsed/>
    <w:qFormat/>
    <w:uiPriority w:val="0"/>
    <w:pPr>
      <w:spacing w:after="0" w:line="240" w:lineRule="auto"/>
    </w:pPr>
    <w:rPr>
      <w:rFonts w:eastAsia="宋体"/>
      <w:sz w:val="18"/>
      <w:szCs w:val="18"/>
    </w:rPr>
  </w:style>
  <w:style w:type="paragraph" w:styleId="14">
    <w:name w:val="footer"/>
    <w:basedOn w:val="1"/>
    <w:link w:val="37"/>
    <w:unhideWhenUsed/>
    <w:qFormat/>
    <w:uiPriority w:val="99"/>
    <w:pPr>
      <w:tabs>
        <w:tab w:val="center" w:pos="4153"/>
        <w:tab w:val="right" w:pos="8306"/>
      </w:tabs>
      <w:spacing w:after="0" w:line="240" w:lineRule="auto"/>
    </w:pPr>
  </w:style>
  <w:style w:type="paragraph" w:styleId="15">
    <w:name w:val="header"/>
    <w:basedOn w:val="1"/>
    <w:link w:val="38"/>
    <w:unhideWhenUsed/>
    <w:qFormat/>
    <w:uiPriority w:val="0"/>
    <w:pPr>
      <w:tabs>
        <w:tab w:val="center" w:pos="4153"/>
        <w:tab w:val="right" w:pos="8306"/>
      </w:tabs>
      <w:spacing w:after="0" w:line="240" w:lineRule="auto"/>
    </w:pPr>
  </w:style>
  <w:style w:type="paragraph" w:styleId="16">
    <w:name w:val="footnote text"/>
    <w:basedOn w:val="1"/>
    <w:link w:val="39"/>
    <w:unhideWhenUsed/>
    <w:qFormat/>
    <w:uiPriority w:val="0"/>
    <w:pPr>
      <w:widowControl w:val="0"/>
      <w:snapToGrid w:val="0"/>
      <w:spacing w:after="0" w:line="240" w:lineRule="auto"/>
    </w:pPr>
    <w:rPr>
      <w:rFonts w:eastAsia="宋体"/>
      <w:sz w:val="18"/>
      <w:szCs w:val="18"/>
    </w:rPr>
  </w:style>
  <w:style w:type="paragraph" w:styleId="17">
    <w:name w:val="Body Text 2"/>
    <w:basedOn w:val="1"/>
    <w:link w:val="40"/>
    <w:qFormat/>
    <w:uiPriority w:val="0"/>
    <w:pPr>
      <w:widowControl w:val="0"/>
      <w:spacing w:beforeLines="50" w:after="0" w:line="400" w:lineRule="atLeast"/>
      <w:jc w:val="both"/>
    </w:pPr>
    <w:rPr>
      <w:rFonts w:eastAsia="DFKai-SB"/>
      <w:kern w:val="2"/>
      <w:sz w:val="24"/>
      <w:szCs w:val="20"/>
      <w:lang w:eastAsia="zh-TW"/>
    </w:rPr>
  </w:style>
  <w:style w:type="paragraph" w:styleId="18">
    <w:name w:val="Title"/>
    <w:basedOn w:val="10"/>
    <w:next w:val="1"/>
    <w:link w:val="41"/>
    <w:qFormat/>
    <w:uiPriority w:val="0"/>
    <w:pPr>
      <w:widowControl w:val="0"/>
      <w:spacing w:line="240" w:lineRule="auto"/>
      <w:jc w:val="center"/>
    </w:pPr>
    <w:rPr>
      <w:rFonts w:ascii="仿宋_GB2312" w:hAnsi="仿宋" w:eastAsia="仿宋_GB2312"/>
      <w:kern w:val="2"/>
      <w:sz w:val="21"/>
      <w:szCs w:val="24"/>
    </w:rPr>
  </w:style>
  <w:style w:type="paragraph" w:styleId="19">
    <w:name w:val="annotation subject"/>
    <w:basedOn w:val="9"/>
    <w:next w:val="9"/>
    <w:link w:val="42"/>
    <w:semiHidden/>
    <w:qFormat/>
    <w:uiPriority w:val="0"/>
    <w:pPr>
      <w:widowControl/>
      <w:spacing w:after="160" w:line="259" w:lineRule="auto"/>
    </w:pPr>
    <w:rPr>
      <w:b/>
      <w:bCs/>
      <w:kern w:val="0"/>
      <w:sz w:val="22"/>
    </w:rPr>
  </w:style>
  <w:style w:type="character" w:styleId="22">
    <w:name w:val="page number"/>
    <w:unhideWhenUsed/>
    <w:qFormat/>
    <w:uiPriority w:val="99"/>
  </w:style>
  <w:style w:type="character" w:styleId="23">
    <w:name w:val="Hyperlink"/>
    <w:qFormat/>
    <w:uiPriority w:val="0"/>
    <w:rPr>
      <w:color w:val="0563C1"/>
      <w:u w:val="single"/>
    </w:rPr>
  </w:style>
  <w:style w:type="character" w:styleId="24">
    <w:name w:val="annotation reference"/>
    <w:unhideWhenUsed/>
    <w:qFormat/>
    <w:uiPriority w:val="0"/>
    <w:rPr>
      <w:sz w:val="21"/>
      <w:szCs w:val="21"/>
    </w:rPr>
  </w:style>
  <w:style w:type="character" w:styleId="25">
    <w:name w:val="footnote reference"/>
    <w:unhideWhenUsed/>
    <w:qFormat/>
    <w:uiPriority w:val="0"/>
    <w:rPr>
      <w:vertAlign w:val="superscript"/>
    </w:rPr>
  </w:style>
  <w:style w:type="character" w:customStyle="1" w:styleId="26">
    <w:name w:val="标题 3 字符"/>
    <w:link w:val="4"/>
    <w:qFormat/>
    <w:uiPriority w:val="0"/>
    <w:rPr>
      <w:rFonts w:ascii="Calibri Light" w:hAnsi="Calibri Light"/>
      <w:bCs/>
      <w:color w:val="C45911"/>
      <w:kern w:val="2"/>
      <w:sz w:val="24"/>
      <w:szCs w:val="22"/>
    </w:rPr>
  </w:style>
  <w:style w:type="character" w:customStyle="1" w:styleId="27">
    <w:name w:val="标题 2 字符"/>
    <w:link w:val="3"/>
    <w:qFormat/>
    <w:uiPriority w:val="0"/>
    <w:rPr>
      <w:rFonts w:ascii="黑体" w:hAnsi="黑体" w:eastAsia="黑体"/>
      <w:smallCaps/>
      <w:kern w:val="2"/>
      <w:sz w:val="30"/>
      <w:szCs w:val="30"/>
    </w:rPr>
  </w:style>
  <w:style w:type="character" w:customStyle="1" w:styleId="28">
    <w:name w:val="标题 1 字符"/>
    <w:link w:val="2"/>
    <w:qFormat/>
    <w:uiPriority w:val="0"/>
    <w:rPr>
      <w:rFonts w:ascii="黑体" w:hAnsi="黑体" w:eastAsia="黑体"/>
      <w:bCs/>
      <w:caps/>
      <w:kern w:val="2"/>
      <w:sz w:val="44"/>
      <w:szCs w:val="32"/>
    </w:rPr>
  </w:style>
  <w:style w:type="character" w:customStyle="1" w:styleId="29">
    <w:name w:val="标题 4 字符"/>
    <w:link w:val="6"/>
    <w:qFormat/>
    <w:uiPriority w:val="0"/>
    <w:rPr>
      <w:rFonts w:ascii="宋体" w:hAnsi="宋体"/>
      <w:bCs/>
      <w:iCs/>
      <w:color w:val="C45911"/>
      <w:kern w:val="2"/>
      <w:sz w:val="22"/>
      <w:szCs w:val="22"/>
    </w:rPr>
  </w:style>
  <w:style w:type="character" w:customStyle="1" w:styleId="30">
    <w:name w:val="标题 5 字符"/>
    <w:link w:val="7"/>
    <w:qFormat/>
    <w:uiPriority w:val="0"/>
    <w:rPr>
      <w:rFonts w:ascii="宋体" w:hAnsi="宋体" w:eastAsia="DengXian" w:cs="Segoe UI"/>
      <w:b/>
      <w:bCs/>
      <w:color w:val="C45911"/>
      <w:kern w:val="2"/>
      <w:sz w:val="24"/>
      <w:szCs w:val="28"/>
    </w:rPr>
  </w:style>
  <w:style w:type="character" w:customStyle="1" w:styleId="31">
    <w:name w:val="文档结构图 字符"/>
    <w:link w:val="8"/>
    <w:semiHidden/>
    <w:qFormat/>
    <w:locked/>
    <w:uiPriority w:val="0"/>
    <w:rPr>
      <w:rFonts w:ascii="宋体"/>
      <w:kern w:val="2"/>
      <w:sz w:val="18"/>
      <w:szCs w:val="18"/>
    </w:rPr>
  </w:style>
  <w:style w:type="character" w:customStyle="1" w:styleId="32">
    <w:name w:val="批注文字 字符1"/>
    <w:link w:val="9"/>
    <w:qFormat/>
    <w:uiPriority w:val="99"/>
    <w:rPr>
      <w:kern w:val="2"/>
      <w:sz w:val="21"/>
      <w:lang w:val="en-US"/>
    </w:rPr>
  </w:style>
  <w:style w:type="character" w:customStyle="1" w:styleId="33">
    <w:name w:val="正文文本 字符"/>
    <w:link w:val="10"/>
    <w:semiHidden/>
    <w:qFormat/>
    <w:uiPriority w:val="0"/>
    <w:rPr>
      <w:rFonts w:eastAsia="DengXian"/>
      <w:sz w:val="22"/>
      <w:szCs w:val="22"/>
    </w:rPr>
  </w:style>
  <w:style w:type="character" w:customStyle="1" w:styleId="34">
    <w:name w:val="正文文本缩进 字符"/>
    <w:link w:val="11"/>
    <w:qFormat/>
    <w:locked/>
    <w:uiPriority w:val="0"/>
    <w:rPr>
      <w:kern w:val="2"/>
      <w:sz w:val="24"/>
    </w:rPr>
  </w:style>
  <w:style w:type="character" w:customStyle="1" w:styleId="35">
    <w:name w:val="日期 字符"/>
    <w:link w:val="12"/>
    <w:qFormat/>
    <w:uiPriority w:val="99"/>
    <w:rPr>
      <w:rFonts w:ascii="Verdana" w:hAnsi="Verdana" w:cs="黑体"/>
      <w:szCs w:val="24"/>
      <w:lang w:eastAsia="en-US"/>
    </w:rPr>
  </w:style>
  <w:style w:type="character" w:customStyle="1" w:styleId="36">
    <w:name w:val="批注框文本 字符"/>
    <w:link w:val="13"/>
    <w:semiHidden/>
    <w:qFormat/>
    <w:uiPriority w:val="0"/>
    <w:rPr>
      <w:sz w:val="18"/>
      <w:szCs w:val="18"/>
    </w:rPr>
  </w:style>
  <w:style w:type="character" w:customStyle="1" w:styleId="37">
    <w:name w:val="页脚 字符"/>
    <w:link w:val="14"/>
    <w:qFormat/>
    <w:uiPriority w:val="0"/>
  </w:style>
  <w:style w:type="character" w:customStyle="1" w:styleId="38">
    <w:name w:val="页眉 字符"/>
    <w:link w:val="15"/>
    <w:qFormat/>
    <w:uiPriority w:val="0"/>
  </w:style>
  <w:style w:type="character" w:customStyle="1" w:styleId="39">
    <w:name w:val="脚注文本 字符"/>
    <w:link w:val="16"/>
    <w:qFormat/>
    <w:uiPriority w:val="0"/>
    <w:rPr>
      <w:sz w:val="18"/>
      <w:szCs w:val="18"/>
    </w:rPr>
  </w:style>
  <w:style w:type="character" w:customStyle="1" w:styleId="40">
    <w:name w:val="正文文本 2 字符"/>
    <w:link w:val="17"/>
    <w:qFormat/>
    <w:locked/>
    <w:uiPriority w:val="0"/>
    <w:rPr>
      <w:rFonts w:eastAsia="DFKai-SB"/>
      <w:kern w:val="2"/>
      <w:sz w:val="24"/>
      <w:lang w:eastAsia="zh-TW"/>
    </w:rPr>
  </w:style>
  <w:style w:type="character" w:customStyle="1" w:styleId="41">
    <w:name w:val="标题 字符"/>
    <w:link w:val="18"/>
    <w:qFormat/>
    <w:uiPriority w:val="0"/>
    <w:rPr>
      <w:rFonts w:ascii="仿宋_GB2312" w:hAnsi="仿宋" w:eastAsia="仿宋_GB2312"/>
      <w:kern w:val="2"/>
      <w:sz w:val="21"/>
      <w:szCs w:val="24"/>
    </w:rPr>
  </w:style>
  <w:style w:type="character" w:customStyle="1" w:styleId="42">
    <w:name w:val="批注主题 字符"/>
    <w:link w:val="19"/>
    <w:semiHidden/>
    <w:qFormat/>
    <w:locked/>
    <w:uiPriority w:val="0"/>
    <w:rPr>
      <w:b/>
      <w:bCs/>
      <w:sz w:val="22"/>
    </w:rPr>
  </w:style>
  <w:style w:type="character" w:customStyle="1" w:styleId="43">
    <w:name w:val="脚注文本 字符1"/>
    <w:semiHidden/>
    <w:qFormat/>
    <w:uiPriority w:val="0"/>
    <w:rPr>
      <w:rFonts w:eastAsia="DengXian"/>
      <w:sz w:val="18"/>
      <w:szCs w:val="18"/>
    </w:rPr>
  </w:style>
  <w:style w:type="character" w:customStyle="1" w:styleId="44">
    <w:name w:val="文档结构图 字符1"/>
    <w:semiHidden/>
    <w:qFormat/>
    <w:uiPriority w:val="0"/>
    <w:rPr>
      <w:rFonts w:ascii="Microsoft YaHei UI" w:eastAsia="Microsoft YaHei UI"/>
      <w:sz w:val="18"/>
      <w:szCs w:val="18"/>
    </w:rPr>
  </w:style>
  <w:style w:type="character" w:customStyle="1" w:styleId="45">
    <w:name w:val="正文文本缩进 字符1"/>
    <w:semiHidden/>
    <w:qFormat/>
    <w:uiPriority w:val="0"/>
    <w:rPr>
      <w:rFonts w:eastAsia="DengXian"/>
      <w:sz w:val="22"/>
      <w:szCs w:val="22"/>
    </w:rPr>
  </w:style>
  <w:style w:type="character" w:customStyle="1" w:styleId="46">
    <w:name w:val="footnote description Char"/>
    <w:link w:val="47"/>
    <w:qFormat/>
    <w:locked/>
    <w:uiPriority w:val="0"/>
    <w:rPr>
      <w:rFonts w:ascii="Segoe UI" w:hAnsi="Segoe UI"/>
      <w:color w:val="000000"/>
      <w:sz w:val="16"/>
      <w:szCs w:val="22"/>
      <w:lang w:val="en-US" w:eastAsia="zh-CN" w:bidi="ar-SA"/>
    </w:rPr>
  </w:style>
  <w:style w:type="paragraph" w:customStyle="1" w:styleId="47">
    <w:name w:val="footnote description"/>
    <w:next w:val="1"/>
    <w:link w:val="46"/>
    <w:qFormat/>
    <w:uiPriority w:val="0"/>
    <w:pPr>
      <w:spacing w:after="159" w:line="271" w:lineRule="auto"/>
      <w:ind w:left="396" w:hanging="396"/>
      <w:jc w:val="both"/>
    </w:pPr>
    <w:rPr>
      <w:rFonts w:ascii="Segoe UI" w:hAnsi="Segoe UI" w:eastAsia="宋体" w:cs="Times New Roman"/>
      <w:color w:val="000000"/>
      <w:sz w:val="16"/>
      <w:szCs w:val="22"/>
      <w:lang w:val="en-US" w:eastAsia="zh-CN" w:bidi="ar-SA"/>
    </w:rPr>
  </w:style>
  <w:style w:type="character" w:customStyle="1" w:styleId="48">
    <w:name w:val="Ò³½Å Char"/>
    <w:unhideWhenUsed/>
    <w:qFormat/>
    <w:uiPriority w:val="99"/>
    <w:rPr>
      <w:rFonts w:hint="default" w:ascii="Calibri" w:hAnsi="Calibri" w:eastAsia="Calibri"/>
      <w:sz w:val="18"/>
    </w:rPr>
  </w:style>
  <w:style w:type="character" w:customStyle="1" w:styleId="49">
    <w:name w:val="页眉 Char"/>
    <w:unhideWhenUsed/>
    <w:qFormat/>
    <w:uiPriority w:val="99"/>
    <w:rPr>
      <w:rFonts w:hint="default" w:ascii="Calibri" w:hAnsi="Calibri" w:eastAsia="Calibri"/>
      <w:sz w:val="18"/>
    </w:rPr>
  </w:style>
  <w:style w:type="character" w:customStyle="1" w:styleId="50">
    <w:name w:val="正文文本 2 字符1"/>
    <w:semiHidden/>
    <w:qFormat/>
    <w:uiPriority w:val="0"/>
    <w:rPr>
      <w:rFonts w:eastAsia="DengXian"/>
      <w:sz w:val="22"/>
      <w:szCs w:val="22"/>
    </w:rPr>
  </w:style>
  <w:style w:type="character" w:customStyle="1" w:styleId="51">
    <w:name w:val="批注文字 Char"/>
    <w:qFormat/>
    <w:uiPriority w:val="0"/>
    <w:rPr>
      <w:rFonts w:ascii="Times New Roman" w:hAnsi="Times New Roman" w:eastAsia="宋体" w:cs="Times New Roman"/>
      <w:sz w:val="24"/>
      <w:szCs w:val="24"/>
    </w:rPr>
  </w:style>
  <w:style w:type="character" w:customStyle="1" w:styleId="52">
    <w:name w:val="页眉 Char2"/>
    <w:unhideWhenUsed/>
    <w:qFormat/>
    <w:uiPriority w:val="99"/>
    <w:rPr>
      <w:rFonts w:hint="default" w:ascii="Calibri" w:hAnsi="Calibri" w:eastAsia="Calibri"/>
      <w:sz w:val="18"/>
    </w:rPr>
  </w:style>
  <w:style w:type="character" w:customStyle="1" w:styleId="53">
    <w:name w:val="页眉 Char1"/>
    <w:unhideWhenUsed/>
    <w:qFormat/>
    <w:uiPriority w:val="99"/>
    <w:rPr>
      <w:rFonts w:hint="default" w:ascii="Calibri" w:hAnsi="Calibri" w:eastAsia="Calibri"/>
      <w:sz w:val="18"/>
    </w:rPr>
  </w:style>
  <w:style w:type="character" w:customStyle="1" w:styleId="54">
    <w:name w:val="Åú×¢¿òÎÄ±¾ Char"/>
    <w:unhideWhenUsed/>
    <w:qFormat/>
    <w:uiPriority w:val="99"/>
    <w:rPr>
      <w:rFonts w:hint="default" w:ascii="Calibri" w:hAnsi="Calibri" w:eastAsia="Calibri"/>
      <w:sz w:val="18"/>
    </w:rPr>
  </w:style>
  <w:style w:type="character" w:customStyle="1" w:styleId="55">
    <w:name w:val="页脚 Char"/>
    <w:unhideWhenUsed/>
    <w:qFormat/>
    <w:uiPriority w:val="99"/>
    <w:rPr>
      <w:rFonts w:hint="default" w:ascii="Calibri" w:hAnsi="Calibri" w:eastAsia="Calibri"/>
      <w:sz w:val="18"/>
    </w:rPr>
  </w:style>
  <w:style w:type="character" w:customStyle="1" w:styleId="56">
    <w:name w:val="页脚 Char1"/>
    <w:unhideWhenUsed/>
    <w:qFormat/>
    <w:uiPriority w:val="99"/>
    <w:rPr>
      <w:rFonts w:hint="default" w:ascii="Calibri" w:hAnsi="Calibri" w:eastAsia="Calibri"/>
      <w:sz w:val="18"/>
    </w:rPr>
  </w:style>
  <w:style w:type="character" w:customStyle="1" w:styleId="57">
    <w:name w:val="页脚 Char2"/>
    <w:unhideWhenUsed/>
    <w:qFormat/>
    <w:uiPriority w:val="99"/>
    <w:rPr>
      <w:rFonts w:hint="default" w:ascii="Calibri" w:hAnsi="Calibri" w:eastAsia="Calibri"/>
      <w:sz w:val="18"/>
    </w:rPr>
  </w:style>
  <w:style w:type="character" w:customStyle="1" w:styleId="58">
    <w:name w:val="批注文字 字符"/>
    <w:semiHidden/>
    <w:qFormat/>
    <w:uiPriority w:val="0"/>
  </w:style>
  <w:style w:type="character" w:customStyle="1" w:styleId="59">
    <w:name w:val="Ò³Ã¼ Char"/>
    <w:unhideWhenUsed/>
    <w:qFormat/>
    <w:uiPriority w:val="99"/>
    <w:rPr>
      <w:rFonts w:hint="default" w:ascii="Calibri" w:hAnsi="Calibri" w:eastAsia="Calibri"/>
      <w:sz w:val="18"/>
    </w:rPr>
  </w:style>
  <w:style w:type="character" w:customStyle="1" w:styleId="60">
    <w:name w:val="Footnote Text Char"/>
    <w:qFormat/>
    <w:locked/>
    <w:uiPriority w:val="0"/>
    <w:rPr>
      <w:rFonts w:ascii="Segoe UI" w:hAnsi="Segoe UI" w:eastAsia="Times New Roman" w:cs="Segoe UI"/>
      <w:color w:val="000000"/>
      <w:sz w:val="18"/>
      <w:szCs w:val="18"/>
    </w:rPr>
  </w:style>
  <w:style w:type="character" w:customStyle="1" w:styleId="61">
    <w:name w:val="footnote mark"/>
    <w:qFormat/>
    <w:uiPriority w:val="0"/>
    <w:rPr>
      <w:rFonts w:ascii="Segoe UI" w:hAnsi="Segoe UI" w:eastAsia="Times New Roman"/>
      <w:color w:val="000000"/>
      <w:sz w:val="16"/>
      <w:vertAlign w:val="superscript"/>
    </w:rPr>
  </w:style>
  <w:style w:type="paragraph" w:customStyle="1" w:styleId="62">
    <w:name w:val="页眉3"/>
    <w:basedOn w:val="1"/>
    <w:unhideWhenUsed/>
    <w:qFormat/>
    <w:uiPriority w:val="99"/>
    <w:pPr>
      <w:widowControl w:val="0"/>
      <w:pBdr>
        <w:bottom w:val="single" w:color="auto" w:sz="6" w:space="1"/>
      </w:pBdr>
      <w:tabs>
        <w:tab w:val="center" w:pos="4153"/>
        <w:tab w:val="right" w:pos="8306"/>
      </w:tabs>
      <w:spacing w:after="0" w:line="240" w:lineRule="auto"/>
      <w:jc w:val="center"/>
    </w:pPr>
    <w:rPr>
      <w:rFonts w:ascii="Calibri" w:hAnsi="Calibri" w:eastAsia="Calibri"/>
      <w:kern w:val="2"/>
      <w:sz w:val="18"/>
      <w:szCs w:val="20"/>
    </w:rPr>
  </w:style>
  <w:style w:type="paragraph" w:customStyle="1" w:styleId="63">
    <w:name w:val="正文1"/>
    <w:basedOn w:val="64"/>
    <w:unhideWhenUsed/>
    <w:qFormat/>
    <w:uiPriority w:val="99"/>
    <w:pPr>
      <w:widowControl/>
      <w:jc w:val="both"/>
    </w:pPr>
    <w:rPr>
      <w:rFonts w:hint="default" w:ascii="Calibri" w:hAnsi="Calibri" w:eastAsia="Calibri"/>
      <w:sz w:val="21"/>
    </w:rPr>
  </w:style>
  <w:style w:type="paragraph" w:customStyle="1" w:styleId="64">
    <w:name w:val="[Normal]"/>
    <w:unhideWhenUsed/>
    <w:qFormat/>
    <w:uiPriority w:val="99"/>
    <w:pPr>
      <w:widowControl w:val="0"/>
      <w:autoSpaceDE w:val="0"/>
      <w:autoSpaceDN w:val="0"/>
      <w:adjustRightInd w:val="0"/>
    </w:pPr>
    <w:rPr>
      <w:rFonts w:hint="eastAsia" w:ascii="宋体" w:hAnsi="宋体" w:eastAsia="宋体" w:cs="Times New Roman"/>
      <w:sz w:val="24"/>
      <w:lang w:val="en-US" w:eastAsia="zh-CN" w:bidi="ar-SA"/>
    </w:rPr>
  </w:style>
  <w:style w:type="paragraph" w:customStyle="1" w:styleId="65">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66">
    <w:name w:val="BODY"/>
    <w:basedOn w:val="64"/>
    <w:unhideWhenUsed/>
    <w:qFormat/>
    <w:uiPriority w:val="99"/>
    <w:pPr>
      <w:widowControl/>
    </w:pPr>
    <w:rPr>
      <w:rFonts w:hint="default" w:ascii="Tahoma" w:hAnsi="Tahoma" w:eastAsia="Tahoma"/>
    </w:rPr>
  </w:style>
  <w:style w:type="paragraph" w:customStyle="1" w:styleId="67">
    <w:name w:val="Paragraph"/>
    <w:basedOn w:val="1"/>
    <w:qFormat/>
    <w:uiPriority w:val="0"/>
    <w:pPr>
      <w:spacing w:after="240" w:line="240" w:lineRule="auto"/>
      <w:jc w:val="both"/>
    </w:pPr>
    <w:rPr>
      <w:rFonts w:ascii="Arial" w:hAnsi="Arial" w:eastAsia="宋体"/>
      <w:szCs w:val="20"/>
      <w:lang w:val="en-GB"/>
    </w:rPr>
  </w:style>
  <w:style w:type="paragraph" w:customStyle="1" w:styleId="68">
    <w:name w:val="ColumnHeading"/>
    <w:basedOn w:val="1"/>
    <w:qFormat/>
    <w:uiPriority w:val="0"/>
    <w:pPr>
      <w:spacing w:after="0" w:line="240" w:lineRule="auto"/>
      <w:jc w:val="center"/>
    </w:pPr>
    <w:rPr>
      <w:rFonts w:ascii="Arial" w:hAnsi="Arial" w:eastAsia="宋体"/>
      <w:b/>
      <w:sz w:val="20"/>
      <w:szCs w:val="20"/>
      <w:lang w:val="en-GB" w:eastAsia="en-US"/>
    </w:rPr>
  </w:style>
  <w:style w:type="paragraph" w:customStyle="1" w:styleId="69">
    <w:name w:val="列出段落1"/>
    <w:basedOn w:val="1"/>
    <w:qFormat/>
    <w:uiPriority w:val="34"/>
    <w:pPr>
      <w:ind w:left="720"/>
      <w:contextualSpacing/>
    </w:pPr>
  </w:style>
  <w:style w:type="paragraph" w:customStyle="1" w:styleId="70">
    <w:name w:val="p1"/>
    <w:basedOn w:val="1"/>
    <w:qFormat/>
    <w:uiPriority w:val="0"/>
    <w:pPr>
      <w:spacing w:before="120" w:after="0" w:line="240" w:lineRule="auto"/>
      <w:jc w:val="both"/>
    </w:pPr>
    <w:rPr>
      <w:rFonts w:ascii=".PingFang SC" w:eastAsia=".PingFang SC"/>
      <w:color w:val="454545"/>
      <w:sz w:val="18"/>
      <w:szCs w:val="18"/>
    </w:rPr>
  </w:style>
  <w:style w:type="paragraph" w:customStyle="1" w:styleId="71">
    <w:name w:val="列出段落2"/>
    <w:basedOn w:val="1"/>
    <w:qFormat/>
    <w:uiPriority w:val="0"/>
    <w:pPr>
      <w:ind w:left="720"/>
      <w:contextualSpacing/>
    </w:pPr>
  </w:style>
  <w:style w:type="paragraph" w:customStyle="1" w:styleId="72">
    <w:name w:val="页脚1"/>
    <w:basedOn w:val="1"/>
    <w:unhideWhenUsed/>
    <w:qFormat/>
    <w:uiPriority w:val="99"/>
    <w:pPr>
      <w:widowControl w:val="0"/>
      <w:tabs>
        <w:tab w:val="center" w:pos="4153"/>
        <w:tab w:val="right" w:pos="8306"/>
      </w:tabs>
      <w:spacing w:after="0" w:line="240" w:lineRule="auto"/>
    </w:pPr>
    <w:rPr>
      <w:rFonts w:ascii="Calibri" w:hAnsi="Calibri" w:eastAsia="Calibri"/>
      <w:kern w:val="2"/>
      <w:sz w:val="18"/>
      <w:szCs w:val="20"/>
    </w:rPr>
  </w:style>
  <w:style w:type="paragraph" w:customStyle="1" w:styleId="73">
    <w:name w:val="页脚4"/>
    <w:basedOn w:val="1"/>
    <w:unhideWhenUsed/>
    <w:qFormat/>
    <w:uiPriority w:val="99"/>
    <w:pPr>
      <w:widowControl w:val="0"/>
      <w:tabs>
        <w:tab w:val="center" w:pos="4153"/>
        <w:tab w:val="right" w:pos="8306"/>
      </w:tabs>
      <w:spacing w:after="0" w:line="240" w:lineRule="auto"/>
    </w:pPr>
    <w:rPr>
      <w:rFonts w:ascii="Calibri" w:hAnsi="Calibri" w:eastAsia="Calibri"/>
      <w:kern w:val="2"/>
      <w:sz w:val="18"/>
      <w:szCs w:val="20"/>
    </w:rPr>
  </w:style>
  <w:style w:type="paragraph" w:customStyle="1" w:styleId="74">
    <w:name w:val="列表段落1"/>
    <w:basedOn w:val="1"/>
    <w:qFormat/>
    <w:uiPriority w:val="0"/>
    <w:pPr>
      <w:widowControl w:val="0"/>
      <w:spacing w:after="0" w:line="240" w:lineRule="auto"/>
      <w:ind w:left="720"/>
      <w:jc w:val="both"/>
    </w:pPr>
    <w:rPr>
      <w:rFonts w:eastAsia="宋体"/>
      <w:kern w:val="2"/>
      <w:sz w:val="21"/>
      <w:szCs w:val="24"/>
    </w:rPr>
  </w:style>
  <w:style w:type="paragraph" w:customStyle="1" w:styleId="75">
    <w:name w:val="页脚3"/>
    <w:basedOn w:val="1"/>
    <w:unhideWhenUsed/>
    <w:qFormat/>
    <w:uiPriority w:val="99"/>
    <w:pPr>
      <w:widowControl w:val="0"/>
      <w:tabs>
        <w:tab w:val="center" w:pos="4153"/>
        <w:tab w:val="right" w:pos="8306"/>
      </w:tabs>
      <w:spacing w:after="0" w:line="240" w:lineRule="auto"/>
    </w:pPr>
    <w:rPr>
      <w:rFonts w:ascii="Calibri" w:hAnsi="Calibri" w:eastAsia="Calibri"/>
      <w:kern w:val="2"/>
      <w:sz w:val="18"/>
      <w:szCs w:val="20"/>
    </w:rPr>
  </w:style>
  <w:style w:type="paragraph" w:customStyle="1" w:styleId="76">
    <w:name w:val="页眉5"/>
    <w:basedOn w:val="1"/>
    <w:unhideWhenUsed/>
    <w:qFormat/>
    <w:uiPriority w:val="99"/>
    <w:pPr>
      <w:widowControl w:val="0"/>
      <w:pBdr>
        <w:bottom w:val="single" w:color="auto" w:sz="6" w:space="1"/>
      </w:pBdr>
      <w:tabs>
        <w:tab w:val="center" w:pos="4153"/>
        <w:tab w:val="right" w:pos="8306"/>
      </w:tabs>
      <w:spacing w:after="0" w:line="240" w:lineRule="auto"/>
      <w:jc w:val="center"/>
    </w:pPr>
    <w:rPr>
      <w:rFonts w:ascii="Calibri" w:hAnsi="Calibri" w:eastAsia="Calibri"/>
      <w:kern w:val="2"/>
      <w:sz w:val="18"/>
      <w:szCs w:val="20"/>
    </w:rPr>
  </w:style>
  <w:style w:type="paragraph" w:customStyle="1" w:styleId="77">
    <w:name w:val="页脚5"/>
    <w:basedOn w:val="1"/>
    <w:unhideWhenUsed/>
    <w:qFormat/>
    <w:uiPriority w:val="99"/>
    <w:pPr>
      <w:widowControl w:val="0"/>
      <w:tabs>
        <w:tab w:val="center" w:pos="4153"/>
        <w:tab w:val="right" w:pos="8306"/>
      </w:tabs>
      <w:spacing w:after="0" w:line="240" w:lineRule="auto"/>
    </w:pPr>
    <w:rPr>
      <w:rFonts w:ascii="Calibri" w:hAnsi="Calibri" w:eastAsia="Calibri"/>
      <w:kern w:val="2"/>
      <w:sz w:val="18"/>
      <w:szCs w:val="20"/>
    </w:rPr>
  </w:style>
  <w:style w:type="paragraph" w:customStyle="1" w:styleId="78">
    <w:name w:val="页脚2"/>
    <w:basedOn w:val="1"/>
    <w:unhideWhenUsed/>
    <w:qFormat/>
    <w:uiPriority w:val="99"/>
    <w:pPr>
      <w:widowControl w:val="0"/>
      <w:tabs>
        <w:tab w:val="center" w:pos="4153"/>
        <w:tab w:val="right" w:pos="8306"/>
      </w:tabs>
      <w:spacing w:after="0" w:line="240" w:lineRule="auto"/>
    </w:pPr>
    <w:rPr>
      <w:rFonts w:ascii="Calibri" w:hAnsi="Calibri" w:eastAsia="Calibri"/>
      <w:kern w:val="2"/>
      <w:sz w:val="18"/>
      <w:szCs w:val="20"/>
    </w:rPr>
  </w:style>
  <w:style w:type="paragraph" w:customStyle="1" w:styleId="79">
    <w:name w:val="TableText"/>
    <w:basedOn w:val="1"/>
    <w:qFormat/>
    <w:uiPriority w:val="0"/>
    <w:pPr>
      <w:keepNext/>
      <w:spacing w:after="120" w:line="240" w:lineRule="auto"/>
    </w:pPr>
    <w:rPr>
      <w:rFonts w:ascii="Arial" w:hAnsi="Arial" w:eastAsia="宋体"/>
      <w:sz w:val="20"/>
      <w:szCs w:val="20"/>
      <w:lang w:val="en-GB" w:eastAsia="en-US"/>
    </w:rPr>
  </w:style>
  <w:style w:type="paragraph" w:customStyle="1" w:styleId="80">
    <w:name w:val="页眉1"/>
    <w:basedOn w:val="1"/>
    <w:unhideWhenUsed/>
    <w:qFormat/>
    <w:uiPriority w:val="99"/>
    <w:pPr>
      <w:widowControl w:val="0"/>
      <w:pBdr>
        <w:bottom w:val="single" w:color="auto" w:sz="6" w:space="1"/>
      </w:pBdr>
      <w:tabs>
        <w:tab w:val="center" w:pos="4153"/>
        <w:tab w:val="right" w:pos="8306"/>
      </w:tabs>
      <w:spacing w:after="0" w:line="240" w:lineRule="auto"/>
      <w:jc w:val="center"/>
    </w:pPr>
    <w:rPr>
      <w:rFonts w:ascii="Calibri" w:hAnsi="Calibri" w:eastAsia="Calibri"/>
      <w:kern w:val="2"/>
      <w:sz w:val="18"/>
      <w:szCs w:val="20"/>
    </w:rPr>
  </w:style>
  <w:style w:type="paragraph" w:customStyle="1" w:styleId="81">
    <w:name w:val="页眉2"/>
    <w:basedOn w:val="1"/>
    <w:unhideWhenUsed/>
    <w:qFormat/>
    <w:uiPriority w:val="99"/>
    <w:pPr>
      <w:widowControl w:val="0"/>
      <w:pBdr>
        <w:bottom w:val="single" w:color="auto" w:sz="6" w:space="1"/>
      </w:pBdr>
      <w:tabs>
        <w:tab w:val="center" w:pos="4153"/>
        <w:tab w:val="right" w:pos="8306"/>
      </w:tabs>
      <w:spacing w:after="0" w:line="240" w:lineRule="auto"/>
      <w:jc w:val="center"/>
    </w:pPr>
    <w:rPr>
      <w:rFonts w:ascii="Calibri" w:hAnsi="Calibri" w:eastAsia="Calibri"/>
      <w:kern w:val="2"/>
      <w:sz w:val="18"/>
      <w:szCs w:val="20"/>
    </w:rPr>
  </w:style>
  <w:style w:type="paragraph" w:customStyle="1" w:styleId="82">
    <w:name w:val="Default"/>
    <w:unhideWhenUsed/>
    <w:qFormat/>
    <w:uiPriority w:val="0"/>
    <w:pPr>
      <w:widowControl w:val="0"/>
      <w:autoSpaceDE w:val="0"/>
      <w:autoSpaceDN w:val="0"/>
      <w:adjustRightInd w:val="0"/>
    </w:pPr>
    <w:rPr>
      <w:rFonts w:hint="eastAsia" w:ascii="Segoe UI" w:hAnsi="Segoe UI" w:eastAsia="Segoe UI" w:cs="Times New Roman"/>
      <w:color w:val="000000"/>
      <w:sz w:val="24"/>
      <w:lang w:val="en-US" w:eastAsia="zh-CN" w:bidi="ar-SA"/>
    </w:rPr>
  </w:style>
  <w:style w:type="paragraph" w:customStyle="1" w:styleId="83">
    <w:name w:val="页眉4"/>
    <w:basedOn w:val="1"/>
    <w:unhideWhenUsed/>
    <w:qFormat/>
    <w:uiPriority w:val="99"/>
    <w:pPr>
      <w:widowControl w:val="0"/>
      <w:pBdr>
        <w:bottom w:val="single" w:color="auto" w:sz="6" w:space="1"/>
      </w:pBdr>
      <w:tabs>
        <w:tab w:val="center" w:pos="4153"/>
        <w:tab w:val="right" w:pos="8306"/>
      </w:tabs>
      <w:spacing w:after="0" w:line="240" w:lineRule="auto"/>
      <w:jc w:val="center"/>
    </w:pPr>
    <w:rPr>
      <w:rFonts w:ascii="Calibri" w:hAnsi="Calibri" w:eastAsia="Calibri"/>
      <w:kern w:val="2"/>
      <w:sz w:val="18"/>
      <w:szCs w:val="20"/>
    </w:rPr>
  </w:style>
  <w:style w:type="paragraph" w:customStyle="1" w:styleId="84">
    <w:name w:val="TOC 标题1"/>
    <w:basedOn w:val="2"/>
    <w:next w:val="1"/>
    <w:qFormat/>
    <w:uiPriority w:val="0"/>
    <w:pPr>
      <w:outlineLvl w:val="9"/>
    </w:pPr>
    <w:rPr>
      <w:color w:val="2F5496"/>
      <w:szCs w:val="20"/>
      <w:lang w:val="en-GB"/>
    </w:rPr>
  </w:style>
  <w:style w:type="character" w:styleId="85">
    <w:name w:val="Placeholder Text"/>
    <w:basedOn w:val="21"/>
    <w:unhideWhenUsed/>
    <w:qFormat/>
    <w:uiPriority w:val="99"/>
    <w:rPr>
      <w:color w:val="808080"/>
    </w:rPr>
  </w:style>
  <w:style w:type="paragraph" w:customStyle="1" w:styleId="86">
    <w:name w:val="修订2"/>
    <w:hidden/>
    <w:unhideWhenUsed/>
    <w:qFormat/>
    <w:uiPriority w:val="99"/>
    <w:rPr>
      <w:rFonts w:ascii="Times New Roman" w:hAnsi="Times New Roman" w:eastAsia="DengXian" w:cs="Times New Roman"/>
      <w:sz w:val="22"/>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38.wmf"/><Relationship Id="rId98" Type="http://schemas.openxmlformats.org/officeDocument/2006/relationships/image" Target="media/image37.wmf"/><Relationship Id="rId97" Type="http://schemas.openxmlformats.org/officeDocument/2006/relationships/image" Target="media/image36.wmf"/><Relationship Id="rId96" Type="http://schemas.openxmlformats.org/officeDocument/2006/relationships/oleObject" Target="embeddings/oleObject50.bin"/><Relationship Id="rId95" Type="http://schemas.openxmlformats.org/officeDocument/2006/relationships/image" Target="media/image35.wmf"/><Relationship Id="rId94" Type="http://schemas.openxmlformats.org/officeDocument/2006/relationships/oleObject" Target="embeddings/oleObject49.bin"/><Relationship Id="rId93" Type="http://schemas.openxmlformats.org/officeDocument/2006/relationships/image" Target="media/image34.wmf"/><Relationship Id="rId92" Type="http://schemas.openxmlformats.org/officeDocument/2006/relationships/oleObject" Target="embeddings/oleObject48.bin"/><Relationship Id="rId91" Type="http://schemas.openxmlformats.org/officeDocument/2006/relationships/image" Target="media/image33.wmf"/><Relationship Id="rId90" Type="http://schemas.openxmlformats.org/officeDocument/2006/relationships/oleObject" Target="embeddings/oleObject47.bin"/><Relationship Id="rId9" Type="http://schemas.openxmlformats.org/officeDocument/2006/relationships/footer" Target="footer2.xml"/><Relationship Id="rId89" Type="http://schemas.openxmlformats.org/officeDocument/2006/relationships/oleObject" Target="embeddings/oleObject46.bin"/><Relationship Id="rId88" Type="http://schemas.openxmlformats.org/officeDocument/2006/relationships/image" Target="media/image32.wmf"/><Relationship Id="rId87" Type="http://schemas.openxmlformats.org/officeDocument/2006/relationships/oleObject" Target="embeddings/oleObject45.bin"/><Relationship Id="rId86" Type="http://schemas.openxmlformats.org/officeDocument/2006/relationships/image" Target="media/image31.wmf"/><Relationship Id="rId85" Type="http://schemas.openxmlformats.org/officeDocument/2006/relationships/oleObject" Target="embeddings/oleObject44.bin"/><Relationship Id="rId84" Type="http://schemas.openxmlformats.org/officeDocument/2006/relationships/image" Target="media/image30.wmf"/><Relationship Id="rId83" Type="http://schemas.openxmlformats.org/officeDocument/2006/relationships/oleObject" Target="embeddings/oleObject43.bin"/><Relationship Id="rId82" Type="http://schemas.openxmlformats.org/officeDocument/2006/relationships/oleObject" Target="embeddings/oleObject42.bin"/><Relationship Id="rId81" Type="http://schemas.openxmlformats.org/officeDocument/2006/relationships/oleObject" Target="embeddings/oleObject41.bin"/><Relationship Id="rId80" Type="http://schemas.openxmlformats.org/officeDocument/2006/relationships/oleObject" Target="embeddings/oleObject40.bin"/><Relationship Id="rId8" Type="http://schemas.openxmlformats.org/officeDocument/2006/relationships/footer" Target="footer1.xml"/><Relationship Id="rId79" Type="http://schemas.openxmlformats.org/officeDocument/2006/relationships/image" Target="media/image29.wmf"/><Relationship Id="rId78" Type="http://schemas.openxmlformats.org/officeDocument/2006/relationships/oleObject" Target="embeddings/oleObject39.bin"/><Relationship Id="rId77" Type="http://schemas.openxmlformats.org/officeDocument/2006/relationships/image" Target="media/image28.wmf"/><Relationship Id="rId76" Type="http://schemas.openxmlformats.org/officeDocument/2006/relationships/oleObject" Target="embeddings/oleObject38.bin"/><Relationship Id="rId75" Type="http://schemas.openxmlformats.org/officeDocument/2006/relationships/image" Target="media/image27.wmf"/><Relationship Id="rId74" Type="http://schemas.openxmlformats.org/officeDocument/2006/relationships/oleObject" Target="embeddings/oleObject37.bin"/><Relationship Id="rId73" Type="http://schemas.openxmlformats.org/officeDocument/2006/relationships/image" Target="media/image26.wmf"/><Relationship Id="rId72" Type="http://schemas.openxmlformats.org/officeDocument/2006/relationships/oleObject" Target="embeddings/oleObject36.bin"/><Relationship Id="rId71" Type="http://schemas.openxmlformats.org/officeDocument/2006/relationships/image" Target="media/image25.wmf"/><Relationship Id="rId70" Type="http://schemas.openxmlformats.org/officeDocument/2006/relationships/oleObject" Target="embeddings/oleObject35.bin"/><Relationship Id="rId7" Type="http://schemas.openxmlformats.org/officeDocument/2006/relationships/header" Target="header3.xml"/><Relationship Id="rId69" Type="http://schemas.openxmlformats.org/officeDocument/2006/relationships/image" Target="media/image24.wmf"/><Relationship Id="rId68" Type="http://schemas.openxmlformats.org/officeDocument/2006/relationships/oleObject" Target="embeddings/oleObject34.bin"/><Relationship Id="rId67" Type="http://schemas.openxmlformats.org/officeDocument/2006/relationships/image" Target="media/image23.wmf"/><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image" Target="media/image22.wmf"/><Relationship Id="rId63" Type="http://schemas.openxmlformats.org/officeDocument/2006/relationships/oleObject" Target="embeddings/oleObject31.bin"/><Relationship Id="rId62" Type="http://schemas.openxmlformats.org/officeDocument/2006/relationships/oleObject" Target="embeddings/oleObject30.bin"/><Relationship Id="rId61" Type="http://schemas.openxmlformats.org/officeDocument/2006/relationships/image" Target="media/image21.wmf"/><Relationship Id="rId60" Type="http://schemas.openxmlformats.org/officeDocument/2006/relationships/oleObject" Target="embeddings/oleObject29.bin"/><Relationship Id="rId6" Type="http://schemas.openxmlformats.org/officeDocument/2006/relationships/header" Target="header2.xml"/><Relationship Id="rId59" Type="http://schemas.openxmlformats.org/officeDocument/2006/relationships/image" Target="media/image20.wmf"/><Relationship Id="rId58" Type="http://schemas.openxmlformats.org/officeDocument/2006/relationships/oleObject" Target="embeddings/oleObject28.bin"/><Relationship Id="rId57" Type="http://schemas.openxmlformats.org/officeDocument/2006/relationships/image" Target="media/image19.wmf"/><Relationship Id="rId56" Type="http://schemas.openxmlformats.org/officeDocument/2006/relationships/oleObject" Target="embeddings/oleObject27.bin"/><Relationship Id="rId55" Type="http://schemas.openxmlformats.org/officeDocument/2006/relationships/image" Target="media/image18.wmf"/><Relationship Id="rId54" Type="http://schemas.openxmlformats.org/officeDocument/2006/relationships/oleObject" Target="embeddings/oleObject26.bin"/><Relationship Id="rId53" Type="http://schemas.openxmlformats.org/officeDocument/2006/relationships/oleObject" Target="embeddings/oleObject25.bin"/><Relationship Id="rId52" Type="http://schemas.openxmlformats.org/officeDocument/2006/relationships/image" Target="media/image17.wmf"/><Relationship Id="rId51" Type="http://schemas.openxmlformats.org/officeDocument/2006/relationships/oleObject" Target="embeddings/oleObject24.bin"/><Relationship Id="rId50" Type="http://schemas.openxmlformats.org/officeDocument/2006/relationships/image" Target="media/image16.wmf"/><Relationship Id="rId5" Type="http://schemas.openxmlformats.org/officeDocument/2006/relationships/header" Target="header1.xml"/><Relationship Id="rId49" Type="http://schemas.openxmlformats.org/officeDocument/2006/relationships/oleObject" Target="embeddings/oleObject23.bin"/><Relationship Id="rId48" Type="http://schemas.openxmlformats.org/officeDocument/2006/relationships/oleObject" Target="embeddings/oleObject22.bin"/><Relationship Id="rId47" Type="http://schemas.openxmlformats.org/officeDocument/2006/relationships/image" Target="media/image15.wmf"/><Relationship Id="rId46" Type="http://schemas.openxmlformats.org/officeDocument/2006/relationships/oleObject" Target="embeddings/oleObject21.bin"/><Relationship Id="rId45" Type="http://schemas.openxmlformats.org/officeDocument/2006/relationships/oleObject" Target="embeddings/oleObject20.bin"/><Relationship Id="rId44" Type="http://schemas.openxmlformats.org/officeDocument/2006/relationships/oleObject" Target="embeddings/oleObject19.bin"/><Relationship Id="rId43" Type="http://schemas.openxmlformats.org/officeDocument/2006/relationships/oleObject" Target="embeddings/oleObject18.bin"/><Relationship Id="rId42" Type="http://schemas.openxmlformats.org/officeDocument/2006/relationships/oleObject" Target="embeddings/oleObject17.bin"/><Relationship Id="rId41" Type="http://schemas.openxmlformats.org/officeDocument/2006/relationships/oleObject" Target="embeddings/oleObject16.bin"/><Relationship Id="rId40" Type="http://schemas.openxmlformats.org/officeDocument/2006/relationships/image" Target="media/image14.wmf"/><Relationship Id="rId4" Type="http://schemas.openxmlformats.org/officeDocument/2006/relationships/endnotes" Target="endnotes.xml"/><Relationship Id="rId39" Type="http://schemas.openxmlformats.org/officeDocument/2006/relationships/oleObject" Target="embeddings/oleObject15.bin"/><Relationship Id="rId38" Type="http://schemas.openxmlformats.org/officeDocument/2006/relationships/image" Target="media/image13.wmf"/><Relationship Id="rId37" Type="http://schemas.openxmlformats.org/officeDocument/2006/relationships/oleObject" Target="embeddings/oleObject14.bin"/><Relationship Id="rId36" Type="http://schemas.openxmlformats.org/officeDocument/2006/relationships/image" Target="media/image12.wmf"/><Relationship Id="rId35" Type="http://schemas.openxmlformats.org/officeDocument/2006/relationships/oleObject" Target="embeddings/oleObject13.bin"/><Relationship Id="rId34" Type="http://schemas.openxmlformats.org/officeDocument/2006/relationships/image" Target="media/image11.wmf"/><Relationship Id="rId33" Type="http://schemas.openxmlformats.org/officeDocument/2006/relationships/oleObject" Target="embeddings/oleObject12.bin"/><Relationship Id="rId32" Type="http://schemas.openxmlformats.org/officeDocument/2006/relationships/image" Target="media/image10.wmf"/><Relationship Id="rId31" Type="http://schemas.openxmlformats.org/officeDocument/2006/relationships/oleObject" Target="embeddings/oleObject11.bin"/><Relationship Id="rId30" Type="http://schemas.openxmlformats.org/officeDocument/2006/relationships/image" Target="media/image9.w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8.wmf"/><Relationship Id="rId27" Type="http://schemas.openxmlformats.org/officeDocument/2006/relationships/oleObject" Target="embeddings/oleObject9.bin"/><Relationship Id="rId26" Type="http://schemas.openxmlformats.org/officeDocument/2006/relationships/image" Target="media/image7.wmf"/><Relationship Id="rId25" Type="http://schemas.openxmlformats.org/officeDocument/2006/relationships/oleObject" Target="embeddings/oleObject8.bin"/><Relationship Id="rId24" Type="http://schemas.openxmlformats.org/officeDocument/2006/relationships/image" Target="media/image6.wmf"/><Relationship Id="rId23" Type="http://schemas.openxmlformats.org/officeDocument/2006/relationships/oleObject" Target="embeddings/oleObject7.bin"/><Relationship Id="rId22" Type="http://schemas.openxmlformats.org/officeDocument/2006/relationships/image" Target="media/image5.wmf"/><Relationship Id="rId21" Type="http://schemas.openxmlformats.org/officeDocument/2006/relationships/oleObject" Target="embeddings/oleObject6.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5.bin"/><Relationship Id="rId182" Type="http://schemas.openxmlformats.org/officeDocument/2006/relationships/fontTable" Target="fontTable.xml"/><Relationship Id="rId181" Type="http://schemas.openxmlformats.org/officeDocument/2006/relationships/customXml" Target="../customXml/item1.xml"/><Relationship Id="rId180" Type="http://schemas.openxmlformats.org/officeDocument/2006/relationships/oleObject" Target="embeddings/oleObject102.bin"/><Relationship Id="rId18" Type="http://schemas.openxmlformats.org/officeDocument/2006/relationships/image" Target="media/image3.wmf"/><Relationship Id="rId179" Type="http://schemas.openxmlformats.org/officeDocument/2006/relationships/oleObject" Target="embeddings/oleObject101.bin"/><Relationship Id="rId178" Type="http://schemas.openxmlformats.org/officeDocument/2006/relationships/image" Target="media/image67.wmf"/><Relationship Id="rId177" Type="http://schemas.openxmlformats.org/officeDocument/2006/relationships/oleObject" Target="embeddings/oleObject100.bin"/><Relationship Id="rId176" Type="http://schemas.openxmlformats.org/officeDocument/2006/relationships/oleObject" Target="embeddings/oleObject99.bin"/><Relationship Id="rId175" Type="http://schemas.openxmlformats.org/officeDocument/2006/relationships/oleObject" Target="embeddings/oleObject98.bin"/><Relationship Id="rId174" Type="http://schemas.openxmlformats.org/officeDocument/2006/relationships/image" Target="media/image66.wmf"/><Relationship Id="rId173" Type="http://schemas.openxmlformats.org/officeDocument/2006/relationships/oleObject" Target="embeddings/oleObject97.bin"/><Relationship Id="rId172" Type="http://schemas.openxmlformats.org/officeDocument/2006/relationships/image" Target="media/image65.wmf"/><Relationship Id="rId171" Type="http://schemas.openxmlformats.org/officeDocument/2006/relationships/oleObject" Target="embeddings/oleObject96.bin"/><Relationship Id="rId170" Type="http://schemas.openxmlformats.org/officeDocument/2006/relationships/oleObject" Target="embeddings/oleObject95.bin"/><Relationship Id="rId17" Type="http://schemas.openxmlformats.org/officeDocument/2006/relationships/oleObject" Target="embeddings/oleObject4.bin"/><Relationship Id="rId169" Type="http://schemas.openxmlformats.org/officeDocument/2006/relationships/oleObject" Target="embeddings/oleObject94.bin"/><Relationship Id="rId168" Type="http://schemas.openxmlformats.org/officeDocument/2006/relationships/oleObject" Target="embeddings/oleObject93.bin"/><Relationship Id="rId167" Type="http://schemas.openxmlformats.org/officeDocument/2006/relationships/oleObject" Target="embeddings/oleObject92.bin"/><Relationship Id="rId166" Type="http://schemas.openxmlformats.org/officeDocument/2006/relationships/image" Target="media/image64.wmf"/><Relationship Id="rId165" Type="http://schemas.openxmlformats.org/officeDocument/2006/relationships/oleObject" Target="embeddings/oleObject91.bin"/><Relationship Id="rId164" Type="http://schemas.openxmlformats.org/officeDocument/2006/relationships/oleObject" Target="embeddings/oleObject90.bin"/><Relationship Id="rId163" Type="http://schemas.openxmlformats.org/officeDocument/2006/relationships/image" Target="media/image63.wmf"/><Relationship Id="rId162" Type="http://schemas.openxmlformats.org/officeDocument/2006/relationships/oleObject" Target="embeddings/oleObject89.bin"/><Relationship Id="rId161" Type="http://schemas.openxmlformats.org/officeDocument/2006/relationships/oleObject" Target="embeddings/oleObject88.bin"/><Relationship Id="rId160" Type="http://schemas.openxmlformats.org/officeDocument/2006/relationships/image" Target="media/image62.wmf"/><Relationship Id="rId16" Type="http://schemas.openxmlformats.org/officeDocument/2006/relationships/oleObject" Target="embeddings/oleObject3.bin"/><Relationship Id="rId159" Type="http://schemas.openxmlformats.org/officeDocument/2006/relationships/oleObject" Target="embeddings/oleObject87.bin"/><Relationship Id="rId158" Type="http://schemas.openxmlformats.org/officeDocument/2006/relationships/oleObject" Target="embeddings/oleObject86.bin"/><Relationship Id="rId157" Type="http://schemas.openxmlformats.org/officeDocument/2006/relationships/image" Target="media/image61.wmf"/><Relationship Id="rId156" Type="http://schemas.openxmlformats.org/officeDocument/2006/relationships/oleObject" Target="embeddings/oleObject85.bin"/><Relationship Id="rId155" Type="http://schemas.openxmlformats.org/officeDocument/2006/relationships/image" Target="media/image60.wmf"/><Relationship Id="rId154" Type="http://schemas.openxmlformats.org/officeDocument/2006/relationships/oleObject" Target="embeddings/oleObject84.bin"/><Relationship Id="rId153" Type="http://schemas.openxmlformats.org/officeDocument/2006/relationships/oleObject" Target="embeddings/oleObject83.bin"/><Relationship Id="rId152" Type="http://schemas.openxmlformats.org/officeDocument/2006/relationships/oleObject" Target="embeddings/oleObject82.bin"/><Relationship Id="rId151" Type="http://schemas.openxmlformats.org/officeDocument/2006/relationships/oleObject" Target="embeddings/oleObject81.bin"/><Relationship Id="rId150" Type="http://schemas.openxmlformats.org/officeDocument/2006/relationships/oleObject" Target="embeddings/oleObject80.bin"/><Relationship Id="rId15" Type="http://schemas.openxmlformats.org/officeDocument/2006/relationships/image" Target="media/image2.wmf"/><Relationship Id="rId149" Type="http://schemas.openxmlformats.org/officeDocument/2006/relationships/image" Target="media/image59.wmf"/><Relationship Id="rId148" Type="http://schemas.openxmlformats.org/officeDocument/2006/relationships/oleObject" Target="embeddings/oleObject79.bin"/><Relationship Id="rId147" Type="http://schemas.openxmlformats.org/officeDocument/2006/relationships/image" Target="media/image58.wmf"/><Relationship Id="rId146" Type="http://schemas.openxmlformats.org/officeDocument/2006/relationships/oleObject" Target="embeddings/oleObject78.bin"/><Relationship Id="rId145" Type="http://schemas.openxmlformats.org/officeDocument/2006/relationships/image" Target="media/image57.wmf"/><Relationship Id="rId144" Type="http://schemas.openxmlformats.org/officeDocument/2006/relationships/oleObject" Target="embeddings/oleObject77.bin"/><Relationship Id="rId143" Type="http://schemas.openxmlformats.org/officeDocument/2006/relationships/image" Target="media/image56.wmf"/><Relationship Id="rId142" Type="http://schemas.openxmlformats.org/officeDocument/2006/relationships/oleObject" Target="embeddings/oleObject76.bin"/><Relationship Id="rId141" Type="http://schemas.openxmlformats.org/officeDocument/2006/relationships/image" Target="media/image55.wmf"/><Relationship Id="rId140" Type="http://schemas.openxmlformats.org/officeDocument/2006/relationships/oleObject" Target="embeddings/oleObject75.bin"/><Relationship Id="rId14" Type="http://schemas.openxmlformats.org/officeDocument/2006/relationships/oleObject" Target="embeddings/oleObject2.bin"/><Relationship Id="rId139" Type="http://schemas.openxmlformats.org/officeDocument/2006/relationships/image" Target="media/image54.wmf"/><Relationship Id="rId138" Type="http://schemas.openxmlformats.org/officeDocument/2006/relationships/oleObject" Target="embeddings/oleObject74.bin"/><Relationship Id="rId137" Type="http://schemas.openxmlformats.org/officeDocument/2006/relationships/oleObject" Target="embeddings/oleObject73.bin"/><Relationship Id="rId136" Type="http://schemas.openxmlformats.org/officeDocument/2006/relationships/oleObject" Target="embeddings/oleObject72.bin"/><Relationship Id="rId135" Type="http://schemas.openxmlformats.org/officeDocument/2006/relationships/image" Target="media/image53.wmf"/><Relationship Id="rId134" Type="http://schemas.openxmlformats.org/officeDocument/2006/relationships/oleObject" Target="embeddings/oleObject71.bin"/><Relationship Id="rId133" Type="http://schemas.openxmlformats.org/officeDocument/2006/relationships/image" Target="media/image52.wmf"/><Relationship Id="rId132" Type="http://schemas.openxmlformats.org/officeDocument/2006/relationships/oleObject" Target="embeddings/oleObject70.bin"/><Relationship Id="rId131" Type="http://schemas.openxmlformats.org/officeDocument/2006/relationships/oleObject" Target="embeddings/oleObject69.bin"/><Relationship Id="rId130" Type="http://schemas.openxmlformats.org/officeDocument/2006/relationships/oleObject" Target="embeddings/oleObject68.bin"/><Relationship Id="rId13" Type="http://schemas.openxmlformats.org/officeDocument/2006/relationships/image" Target="media/image1.wmf"/><Relationship Id="rId129" Type="http://schemas.openxmlformats.org/officeDocument/2006/relationships/image" Target="media/image51.wmf"/><Relationship Id="rId128" Type="http://schemas.openxmlformats.org/officeDocument/2006/relationships/oleObject" Target="embeddings/oleObject67.bin"/><Relationship Id="rId127" Type="http://schemas.openxmlformats.org/officeDocument/2006/relationships/image" Target="media/image50.wmf"/><Relationship Id="rId126" Type="http://schemas.openxmlformats.org/officeDocument/2006/relationships/oleObject" Target="embeddings/oleObject66.bin"/><Relationship Id="rId125" Type="http://schemas.openxmlformats.org/officeDocument/2006/relationships/image" Target="media/image49.wmf"/><Relationship Id="rId124" Type="http://schemas.openxmlformats.org/officeDocument/2006/relationships/oleObject" Target="embeddings/oleObject65.bin"/><Relationship Id="rId123" Type="http://schemas.openxmlformats.org/officeDocument/2006/relationships/image" Target="media/image48.wmf"/><Relationship Id="rId122" Type="http://schemas.openxmlformats.org/officeDocument/2006/relationships/oleObject" Target="embeddings/oleObject64.bin"/><Relationship Id="rId121" Type="http://schemas.openxmlformats.org/officeDocument/2006/relationships/image" Target="media/image47.wmf"/><Relationship Id="rId120" Type="http://schemas.openxmlformats.org/officeDocument/2006/relationships/oleObject" Target="embeddings/oleObject63.bin"/><Relationship Id="rId12" Type="http://schemas.openxmlformats.org/officeDocument/2006/relationships/oleObject" Target="embeddings/oleObject1.bin"/><Relationship Id="rId119" Type="http://schemas.openxmlformats.org/officeDocument/2006/relationships/image" Target="media/image46.wmf"/><Relationship Id="rId118" Type="http://schemas.openxmlformats.org/officeDocument/2006/relationships/oleObject" Target="embeddings/oleObject62.bin"/><Relationship Id="rId117" Type="http://schemas.openxmlformats.org/officeDocument/2006/relationships/image" Target="media/image45.wmf"/><Relationship Id="rId116" Type="http://schemas.openxmlformats.org/officeDocument/2006/relationships/oleObject" Target="embeddings/oleObject61.bin"/><Relationship Id="rId115" Type="http://schemas.openxmlformats.org/officeDocument/2006/relationships/oleObject" Target="embeddings/oleObject60.bin"/><Relationship Id="rId114" Type="http://schemas.openxmlformats.org/officeDocument/2006/relationships/oleObject" Target="embeddings/oleObject59.bin"/><Relationship Id="rId113" Type="http://schemas.openxmlformats.org/officeDocument/2006/relationships/oleObject" Target="embeddings/oleObject58.bin"/><Relationship Id="rId112" Type="http://schemas.openxmlformats.org/officeDocument/2006/relationships/oleObject" Target="embeddings/oleObject57.bin"/><Relationship Id="rId111" Type="http://schemas.openxmlformats.org/officeDocument/2006/relationships/image" Target="media/image44.wmf"/><Relationship Id="rId110" Type="http://schemas.openxmlformats.org/officeDocument/2006/relationships/oleObject" Target="embeddings/oleObject56.bin"/><Relationship Id="rId11" Type="http://schemas.openxmlformats.org/officeDocument/2006/relationships/theme" Target="theme/theme1.xml"/><Relationship Id="rId109" Type="http://schemas.openxmlformats.org/officeDocument/2006/relationships/image" Target="media/image43.wmf"/><Relationship Id="rId108" Type="http://schemas.openxmlformats.org/officeDocument/2006/relationships/oleObject" Target="embeddings/oleObject55.bin"/><Relationship Id="rId107" Type="http://schemas.openxmlformats.org/officeDocument/2006/relationships/image" Target="media/image42.wmf"/><Relationship Id="rId106" Type="http://schemas.openxmlformats.org/officeDocument/2006/relationships/oleObject" Target="embeddings/oleObject54.bin"/><Relationship Id="rId105" Type="http://schemas.openxmlformats.org/officeDocument/2006/relationships/image" Target="media/image41.wmf"/><Relationship Id="rId104" Type="http://schemas.openxmlformats.org/officeDocument/2006/relationships/oleObject" Target="embeddings/oleObject53.bin"/><Relationship Id="rId103" Type="http://schemas.openxmlformats.org/officeDocument/2006/relationships/image" Target="media/image40.wmf"/><Relationship Id="rId102" Type="http://schemas.openxmlformats.org/officeDocument/2006/relationships/oleObject" Target="embeddings/oleObject52.bin"/><Relationship Id="rId101" Type="http://schemas.openxmlformats.org/officeDocument/2006/relationships/image" Target="media/image39.wmf"/><Relationship Id="rId100" Type="http://schemas.openxmlformats.org/officeDocument/2006/relationships/oleObject" Target="embeddings/oleObject51.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3238</Words>
  <Characters>18458</Characters>
  <Lines>153</Lines>
  <Paragraphs>43</Paragraphs>
  <TotalTime>37</TotalTime>
  <ScaleCrop>false</ScaleCrop>
  <LinksUpToDate>false</LinksUpToDate>
  <CharactersWithSpaces>21653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2023-02-18T14:27:00Z</dcterms:created>
  <dc:creator>zhouhe</dc:creator>
  <cp:lastModifiedBy>陈静</cp:lastModifiedBy>
  <cp:lastPrinted>2020-10-30T00:50:00Z</cp:lastPrinted>
  <dcterms:modified xsi:type="dcterms:W3CDTF">2023-11-01T05:24:17Z</dcterms:modified>
  <dc:title>资产证券化风险加权资产计量规则</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384A43ABFD7446EE95DAFCBEE633A2BF_13</vt:lpwstr>
  </property>
</Properties>
</file>