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F78F" w14:textId="76372B25" w:rsidR="006F0590" w:rsidRDefault="000D0DA9" w:rsidP="00AC100E">
      <w:pPr>
        <w:pStyle w:val="af4"/>
        <w:spacing w:line="600" w:lineRule="exact"/>
        <w:jc w:val="left"/>
        <w:rPr>
          <w:rFonts w:ascii="黑体" w:eastAsia="黑体" w:hAnsi="黑体" w:cs="黑体"/>
          <w:sz w:val="32"/>
          <w:szCs w:val="30"/>
        </w:rPr>
      </w:pPr>
      <w:r w:rsidRPr="00AC100E">
        <w:rPr>
          <w:rFonts w:ascii="黑体" w:eastAsia="黑体" w:hAnsi="黑体" w:cs="黑体" w:hint="eastAsia"/>
          <w:sz w:val="32"/>
          <w:szCs w:val="30"/>
        </w:rPr>
        <w:t>附件</w:t>
      </w:r>
      <w:r w:rsidRPr="00AC100E">
        <w:rPr>
          <w:rFonts w:ascii="黑体" w:eastAsia="黑体" w:hAnsi="黑体" w:cs="黑体"/>
          <w:sz w:val="32"/>
          <w:szCs w:val="30"/>
        </w:rPr>
        <w:t>16</w:t>
      </w:r>
    </w:p>
    <w:p w14:paraId="3F59EAD0" w14:textId="3D7F222D" w:rsidR="006F0590" w:rsidRDefault="006F0590" w:rsidP="00AC100E">
      <w:pPr>
        <w:pStyle w:val="af4"/>
        <w:spacing w:line="600" w:lineRule="exact"/>
        <w:jc w:val="left"/>
        <w:rPr>
          <w:rFonts w:ascii="楷体_GB2312" w:eastAsia="楷体_GB2312"/>
          <w:sz w:val="32"/>
          <w:szCs w:val="30"/>
        </w:rPr>
      </w:pPr>
    </w:p>
    <w:p w14:paraId="7791FA70" w14:textId="77777777" w:rsidR="006F0590" w:rsidRDefault="000D0DA9" w:rsidP="00AC100E">
      <w:pPr>
        <w:pStyle w:val="20"/>
        <w:spacing w:line="6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市场风险简化标准法计量规则</w:t>
      </w:r>
    </w:p>
    <w:p w14:paraId="36418277" w14:textId="77777777" w:rsidR="006F0590" w:rsidRDefault="006F0590" w:rsidP="00AC100E">
      <w:pPr>
        <w:widowControl/>
        <w:spacing w:line="600" w:lineRule="exact"/>
        <w:ind w:firstLineChars="200" w:firstLine="562"/>
        <w:jc w:val="center"/>
        <w:rPr>
          <w:rFonts w:ascii="仿宋_GB2312" w:eastAsia="仿宋_GB2312" w:hAnsi="宋体" w:cs="宋体"/>
          <w:b/>
          <w:kern w:val="0"/>
          <w:sz w:val="28"/>
          <w:szCs w:val="28"/>
        </w:rPr>
      </w:pPr>
    </w:p>
    <w:p w14:paraId="0A36D8BD" w14:textId="77777777" w:rsidR="006F0590" w:rsidRDefault="000D0DA9" w:rsidP="00AC100E">
      <w:pPr>
        <w:pStyle w:val="20"/>
        <w:spacing w:line="600" w:lineRule="exact"/>
      </w:pPr>
      <w:r>
        <w:rPr>
          <w:rFonts w:hint="eastAsia"/>
        </w:rPr>
        <w:t>一、市场风险简化标准法总体要求</w:t>
      </w:r>
    </w:p>
    <w:p w14:paraId="75258567" w14:textId="514EFC60" w:rsidR="006F0590" w:rsidRDefault="000D0DA9" w:rsidP="00AC100E">
      <w:pPr>
        <w:spacing w:line="480" w:lineRule="exact"/>
        <w:ind w:firstLineChars="200" w:firstLine="600"/>
        <w:rPr>
          <w:rFonts w:ascii="仿宋_GB2312" w:eastAsia="仿宋_GB2312"/>
          <w:sz w:val="30"/>
          <w:szCs w:val="30"/>
        </w:rPr>
      </w:pPr>
      <w:r>
        <w:rPr>
          <w:rFonts w:ascii="仿宋_GB2312" w:eastAsia="仿宋_GB2312" w:hint="eastAsia"/>
          <w:sz w:val="30"/>
          <w:szCs w:val="30"/>
        </w:rPr>
        <w:t>（一）商业银行采用简化标准法计量市场风险资本要求，应依照本附件要求</w:t>
      </w:r>
      <w:r w:rsidR="00372714">
        <w:rPr>
          <w:rFonts w:ascii="仿宋_GB2312" w:eastAsia="仿宋_GB2312" w:hint="eastAsia"/>
          <w:sz w:val="30"/>
          <w:szCs w:val="30"/>
        </w:rPr>
        <w:t>计量</w:t>
      </w:r>
      <w:r>
        <w:rPr>
          <w:rFonts w:ascii="仿宋_GB2312" w:eastAsia="仿宋_GB2312" w:hint="eastAsia"/>
          <w:sz w:val="30"/>
          <w:szCs w:val="30"/>
        </w:rPr>
        <w:t>。市场风险资本要求乘以12.5倍，得到简化标准法下市场风险加权资产。</w:t>
      </w:r>
    </w:p>
    <w:p w14:paraId="3B7BA9D8" w14:textId="77777777" w:rsidR="006F0590" w:rsidRDefault="000D0DA9" w:rsidP="00AC100E">
      <w:pPr>
        <w:spacing w:line="480" w:lineRule="exact"/>
        <w:ind w:firstLineChars="200" w:firstLine="600"/>
        <w:rPr>
          <w:rFonts w:ascii="仿宋_GB2312" w:eastAsia="仿宋_GB2312"/>
          <w:sz w:val="30"/>
          <w:szCs w:val="30"/>
        </w:rPr>
      </w:pPr>
      <w:r>
        <w:rPr>
          <w:rFonts w:ascii="仿宋_GB2312" w:eastAsia="仿宋_GB2312" w:hint="eastAsia"/>
          <w:sz w:val="30"/>
          <w:szCs w:val="30"/>
        </w:rPr>
        <w:t>（二）简化标准法下，市场风险资本要求=利率风险资本要求（含利率类期权资本要求）×1.3+汇率风险资本要求（含汇率类期权资本要求）×1.2+商品风险资本要求（含商品类期权资本要求）×1.9+股票风险资本要求（含股票类期权资本要求）×3.5。</w:t>
      </w:r>
    </w:p>
    <w:p w14:paraId="122F8CD4" w14:textId="13FA73F3" w:rsidR="006F0590" w:rsidRDefault="000D0DA9" w:rsidP="00AC100E">
      <w:pPr>
        <w:spacing w:line="480" w:lineRule="exact"/>
        <w:ind w:firstLineChars="200" w:firstLine="600"/>
        <w:rPr>
          <w:rFonts w:ascii="仿宋_GB2312" w:eastAsia="仿宋_GB2312"/>
          <w:sz w:val="30"/>
          <w:szCs w:val="30"/>
        </w:rPr>
      </w:pPr>
      <w:r>
        <w:rPr>
          <w:rFonts w:ascii="仿宋_GB2312" w:eastAsia="仿宋_GB2312" w:hint="eastAsia"/>
          <w:sz w:val="30"/>
          <w:szCs w:val="30"/>
        </w:rPr>
        <w:t>利率风险资本要求和股票风险资本要求为一般市场风险资本要求和特定</w:t>
      </w:r>
      <w:r w:rsidR="002D1597">
        <w:rPr>
          <w:rFonts w:ascii="仿宋_GB2312" w:eastAsia="仿宋_GB2312" w:hint="eastAsia"/>
          <w:sz w:val="30"/>
          <w:szCs w:val="30"/>
        </w:rPr>
        <w:t>市场</w:t>
      </w:r>
      <w:r>
        <w:rPr>
          <w:rFonts w:ascii="仿宋_GB2312" w:eastAsia="仿宋_GB2312" w:hint="eastAsia"/>
          <w:sz w:val="30"/>
          <w:szCs w:val="30"/>
        </w:rPr>
        <w:t>风险资本要求之和。期权风险资本要求纳入其标的对应风险类别进行资本要求汇总。</w:t>
      </w:r>
    </w:p>
    <w:p w14:paraId="453A4DD3" w14:textId="77777777" w:rsidR="006F0590" w:rsidRDefault="000D0DA9" w:rsidP="00AC100E">
      <w:pPr>
        <w:spacing w:line="480" w:lineRule="exact"/>
        <w:ind w:firstLineChars="200" w:firstLine="600"/>
        <w:rPr>
          <w:rFonts w:ascii="仿宋_GB2312" w:eastAsia="仿宋_GB2312"/>
          <w:sz w:val="30"/>
          <w:szCs w:val="30"/>
        </w:rPr>
      </w:pPr>
      <w:r>
        <w:rPr>
          <w:rFonts w:ascii="仿宋_GB2312" w:eastAsia="仿宋_GB2312" w:hint="eastAsia"/>
          <w:sz w:val="30"/>
          <w:szCs w:val="30"/>
        </w:rPr>
        <w:t>（三）使用简化标准法计量市场风险资本要求的商业银行应同时满足以下条件：</w:t>
      </w:r>
    </w:p>
    <w:p w14:paraId="68C862F4" w14:textId="77777777" w:rsidR="006F0590" w:rsidRDefault="000D0DA9" w:rsidP="00AC100E">
      <w:pPr>
        <w:spacing w:line="480" w:lineRule="exact"/>
        <w:ind w:firstLineChars="200" w:firstLine="600"/>
        <w:rPr>
          <w:rFonts w:ascii="仿宋_GB2312" w:eastAsia="仿宋_GB2312"/>
          <w:sz w:val="30"/>
          <w:szCs w:val="30"/>
        </w:rPr>
      </w:pPr>
      <w:r>
        <w:rPr>
          <w:rFonts w:ascii="仿宋_GB2312" w:eastAsia="仿宋_GB2312" w:hint="eastAsia"/>
          <w:sz w:val="30"/>
          <w:szCs w:val="30"/>
        </w:rPr>
        <w:t>1．简化标准法下，并表口径市场风险加权资产不超过150亿元；</w:t>
      </w:r>
    </w:p>
    <w:p w14:paraId="6A891988" w14:textId="77777777" w:rsidR="006F0590" w:rsidRDefault="000D0DA9" w:rsidP="00AC100E">
      <w:pPr>
        <w:spacing w:line="48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．并表口径非中央交易对手衍生工具的名义本金（全账簿）不超过</w:t>
      </w:r>
      <w:r>
        <w:rPr>
          <w:rFonts w:ascii="仿宋_GB2312" w:eastAsia="仿宋_GB2312"/>
          <w:sz w:val="30"/>
          <w:szCs w:val="30"/>
        </w:rPr>
        <w:t>4000</w:t>
      </w:r>
      <w:r>
        <w:rPr>
          <w:rFonts w:ascii="仿宋_GB2312" w:eastAsia="仿宋_GB2312" w:hint="eastAsia"/>
          <w:sz w:val="30"/>
          <w:szCs w:val="30"/>
        </w:rPr>
        <w:t>亿元；</w:t>
      </w:r>
    </w:p>
    <w:p w14:paraId="28A57004" w14:textId="77777777" w:rsidR="006F0590" w:rsidRDefault="000D0DA9" w:rsidP="00AC100E">
      <w:pPr>
        <w:spacing w:line="48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．银行及其任何附属公司未使用内部模型法计量市场风险资本要求；</w:t>
      </w:r>
    </w:p>
    <w:p w14:paraId="6DC71BB9" w14:textId="77777777" w:rsidR="006F0590" w:rsidRDefault="000D0DA9" w:rsidP="00AC100E">
      <w:pPr>
        <w:spacing w:line="480" w:lineRule="exact"/>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．非全球系统重要性银行（G-SIB）或国内系统重要性银行（D-SIB）；</w:t>
      </w:r>
    </w:p>
    <w:p w14:paraId="0A7F72FC" w14:textId="77777777" w:rsidR="006F0590" w:rsidRDefault="000D0DA9" w:rsidP="00AC100E">
      <w:pPr>
        <w:spacing w:line="480" w:lineRule="exact"/>
        <w:ind w:firstLineChars="200" w:firstLine="600"/>
        <w:rPr>
          <w:rFonts w:ascii="仿宋_GB2312" w:eastAsia="仿宋_GB2312"/>
          <w:sz w:val="30"/>
          <w:szCs w:val="30"/>
        </w:rPr>
      </w:pPr>
      <w:r>
        <w:rPr>
          <w:rFonts w:ascii="仿宋_GB2312" w:eastAsia="仿宋_GB2312" w:hint="eastAsia"/>
          <w:sz w:val="30"/>
          <w:szCs w:val="30"/>
        </w:rPr>
        <w:lastRenderedPageBreak/>
        <w:t>5．未持有任何相关性交易头寸。</w:t>
      </w:r>
    </w:p>
    <w:p w14:paraId="3ED77F17" w14:textId="5E34DB85" w:rsidR="00C16568" w:rsidRDefault="000D0DA9" w:rsidP="00AC100E">
      <w:pPr>
        <w:spacing w:line="480" w:lineRule="exact"/>
        <w:ind w:firstLineChars="200" w:firstLine="600"/>
        <w:rPr>
          <w:rFonts w:ascii="仿宋_GB2312" w:eastAsia="仿宋_GB2312"/>
          <w:sz w:val="30"/>
          <w:szCs w:val="30"/>
        </w:rPr>
      </w:pPr>
      <w:r>
        <w:rPr>
          <w:rFonts w:ascii="仿宋_GB2312" w:eastAsia="仿宋_GB2312" w:hint="eastAsia"/>
          <w:sz w:val="30"/>
          <w:szCs w:val="30"/>
        </w:rPr>
        <w:t>国家金融监督管理总局有权根据银行业整体情况适时调整上述简化标准法适用条件。</w:t>
      </w:r>
    </w:p>
    <w:p w14:paraId="566ADAE1" w14:textId="28ABC212" w:rsidR="006F0590" w:rsidRDefault="000D0DA9" w:rsidP="00AC100E">
      <w:pPr>
        <w:spacing w:line="480" w:lineRule="exact"/>
        <w:ind w:firstLineChars="200" w:firstLine="600"/>
        <w:rPr>
          <w:rFonts w:ascii="仿宋_GB2312" w:eastAsia="仿宋_GB2312"/>
          <w:sz w:val="30"/>
          <w:szCs w:val="30"/>
        </w:rPr>
      </w:pPr>
      <w:r w:rsidRPr="002D1597">
        <w:rPr>
          <w:rFonts w:ascii="仿宋_GB2312" w:eastAsia="仿宋_GB2312" w:hint="eastAsia"/>
          <w:sz w:val="30"/>
          <w:szCs w:val="30"/>
        </w:rPr>
        <w:t>国家金融监督管理总局及其派出机构有权根据单家</w:t>
      </w:r>
      <w:r w:rsidR="00D565E4" w:rsidRPr="002D1597">
        <w:rPr>
          <w:rFonts w:ascii="仿宋_GB2312" w:eastAsia="仿宋_GB2312" w:hint="eastAsia"/>
          <w:sz w:val="30"/>
          <w:szCs w:val="30"/>
        </w:rPr>
        <w:t>银行经营管理和风险水平</w:t>
      </w:r>
      <w:r w:rsidRPr="002D1597">
        <w:rPr>
          <w:rFonts w:ascii="仿宋_GB2312" w:eastAsia="仿宋_GB2312" w:hint="eastAsia"/>
          <w:sz w:val="30"/>
          <w:szCs w:val="30"/>
        </w:rPr>
        <w:t>等情况，结合监管判断</w:t>
      </w:r>
      <w:r w:rsidR="00D565E4" w:rsidRPr="00AC100E">
        <w:rPr>
          <w:rFonts w:ascii="仿宋_GB2312" w:eastAsia="仿宋_GB2312" w:hint="eastAsia"/>
          <w:sz w:val="30"/>
          <w:szCs w:val="30"/>
        </w:rPr>
        <w:t>调整</w:t>
      </w:r>
      <w:r w:rsidRPr="002D1597">
        <w:rPr>
          <w:rFonts w:ascii="仿宋_GB2312" w:eastAsia="仿宋_GB2312" w:hint="eastAsia"/>
          <w:sz w:val="30"/>
          <w:szCs w:val="30"/>
        </w:rPr>
        <w:t>其</w:t>
      </w:r>
      <w:r w:rsidR="00D565E4" w:rsidRPr="00AC100E">
        <w:rPr>
          <w:rFonts w:ascii="仿宋_GB2312" w:eastAsia="仿宋_GB2312" w:hint="eastAsia"/>
          <w:sz w:val="30"/>
          <w:szCs w:val="30"/>
        </w:rPr>
        <w:t>所</w:t>
      </w:r>
      <w:r w:rsidRPr="002D1597">
        <w:rPr>
          <w:rFonts w:ascii="仿宋_GB2312" w:eastAsia="仿宋_GB2312" w:hint="eastAsia"/>
          <w:sz w:val="30"/>
          <w:szCs w:val="30"/>
        </w:rPr>
        <w:t>适用的市场风险资本计量方法。</w:t>
      </w:r>
    </w:p>
    <w:p w14:paraId="46CCBD8D" w14:textId="77777777" w:rsidR="006F0590" w:rsidRDefault="000D0DA9">
      <w:pPr>
        <w:pStyle w:val="20"/>
        <w:spacing w:line="480" w:lineRule="exact"/>
      </w:pPr>
      <w:r>
        <w:rPr>
          <w:rFonts w:hint="eastAsia"/>
        </w:rPr>
        <w:t>二、利率风险</w:t>
      </w:r>
    </w:p>
    <w:p w14:paraId="3790A017" w14:textId="77777777" w:rsidR="006F0590" w:rsidRDefault="000D0DA9">
      <w:pPr>
        <w:snapToGrid w:val="0"/>
        <w:spacing w:line="480" w:lineRule="exact"/>
        <w:ind w:firstLineChars="200" w:firstLine="600"/>
        <w:rPr>
          <w:rFonts w:ascii="仿宋_GB2312" w:eastAsia="仿宋_GB2312"/>
          <w:sz w:val="28"/>
          <w:szCs w:val="28"/>
        </w:rPr>
      </w:pPr>
      <w:r>
        <w:rPr>
          <w:rFonts w:ascii="仿宋_GB2312" w:eastAsia="仿宋_GB2312" w:hint="eastAsia"/>
          <w:sz w:val="30"/>
          <w:szCs w:val="30"/>
        </w:rPr>
        <w:t>利率风险包括交易账簿中的债券（固定利率和浮动利率债券、央行票据、可转让存单、不可转换优先股及按照债券交易规则进行交易的可转换债券等）、利率及债券衍生工具头寸的风险。利率风险的资本要求包括特定市场风险和一般市场风险的资本要求两部分。</w:t>
      </w:r>
    </w:p>
    <w:p w14:paraId="425A7257" w14:textId="77777777" w:rsidR="006F0590" w:rsidRDefault="000D0DA9">
      <w:pPr>
        <w:snapToGrid w:val="0"/>
        <w:spacing w:line="480" w:lineRule="exact"/>
        <w:ind w:firstLineChars="200" w:firstLine="600"/>
        <w:outlineLvl w:val="1"/>
        <w:rPr>
          <w:rFonts w:ascii="楷体_GB2312" w:eastAsia="楷体_GB2312" w:hAnsi="楷体"/>
          <w:bCs/>
          <w:sz w:val="30"/>
          <w:szCs w:val="30"/>
        </w:rPr>
      </w:pPr>
      <w:r>
        <w:rPr>
          <w:rFonts w:ascii="楷体_GB2312" w:eastAsia="楷体_GB2312" w:hAnsi="楷体" w:hint="eastAsia"/>
          <w:bCs/>
          <w:sz w:val="30"/>
          <w:szCs w:val="30"/>
        </w:rPr>
        <w:t>（一）特定市场风险</w:t>
      </w:r>
    </w:p>
    <w:p w14:paraId="22E1413C" w14:textId="77777777" w:rsidR="006F0590" w:rsidRDefault="000D0DA9">
      <w:pPr>
        <w:snapToGrid w:val="0"/>
        <w:spacing w:line="480" w:lineRule="exact"/>
        <w:jc w:val="center"/>
        <w:rPr>
          <w:rFonts w:ascii="楷体_GB2312" w:eastAsia="楷体_GB2312"/>
          <w:b/>
          <w:sz w:val="28"/>
          <w:szCs w:val="28"/>
        </w:rPr>
      </w:pPr>
      <w:r>
        <w:rPr>
          <w:rFonts w:ascii="楷体_GB2312" w:eastAsia="楷体_GB2312" w:hint="eastAsia"/>
          <w:b/>
          <w:sz w:val="28"/>
          <w:szCs w:val="28"/>
        </w:rPr>
        <w:t>表1 特定市场风险计提比率对应表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694"/>
        <w:gridCol w:w="8"/>
        <w:gridCol w:w="4662"/>
      </w:tblGrid>
      <w:tr w:rsidR="006F0590" w14:paraId="1F4445A0" w14:textId="77777777">
        <w:trPr>
          <w:trHeight w:val="435"/>
          <w:tblHeader/>
          <w:jc w:val="center"/>
        </w:trPr>
        <w:tc>
          <w:tcPr>
            <w:tcW w:w="1716" w:type="dxa"/>
            <w:vAlign w:val="center"/>
          </w:tcPr>
          <w:p w14:paraId="3690552B" w14:textId="77777777" w:rsidR="006F0590" w:rsidRDefault="000D0DA9">
            <w:pPr>
              <w:widowControl/>
              <w:jc w:val="center"/>
              <w:outlineLvl w:val="1"/>
              <w:rPr>
                <w:rFonts w:ascii="宋体" w:hAnsi="宋体" w:cs="宋体"/>
                <w:b/>
                <w:color w:val="000000"/>
                <w:kern w:val="0"/>
                <w:sz w:val="22"/>
                <w:szCs w:val="22"/>
              </w:rPr>
            </w:pPr>
            <w:r>
              <w:rPr>
                <w:rFonts w:ascii="宋体" w:hAnsi="宋体" w:cs="宋体" w:hint="eastAsia"/>
                <w:b/>
                <w:color w:val="000000"/>
                <w:kern w:val="0"/>
                <w:sz w:val="22"/>
                <w:szCs w:val="22"/>
              </w:rPr>
              <w:t>类别</w:t>
            </w:r>
          </w:p>
        </w:tc>
        <w:tc>
          <w:tcPr>
            <w:tcW w:w="2694" w:type="dxa"/>
            <w:vAlign w:val="center"/>
          </w:tcPr>
          <w:p w14:paraId="5A201934" w14:textId="77777777" w:rsidR="006F0590" w:rsidRDefault="000D0DA9">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发行主体外部评级</w:t>
            </w:r>
          </w:p>
        </w:tc>
        <w:tc>
          <w:tcPr>
            <w:tcW w:w="4670" w:type="dxa"/>
            <w:gridSpan w:val="2"/>
            <w:vAlign w:val="center"/>
          </w:tcPr>
          <w:p w14:paraId="1C73BDC7" w14:textId="77777777" w:rsidR="006F0590" w:rsidRDefault="000D0DA9">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特定市场风险资本计提比率</w:t>
            </w:r>
          </w:p>
        </w:tc>
      </w:tr>
      <w:tr w:rsidR="006F0590" w14:paraId="2E905813" w14:textId="77777777">
        <w:trPr>
          <w:trHeight w:val="270"/>
          <w:jc w:val="center"/>
        </w:trPr>
        <w:tc>
          <w:tcPr>
            <w:tcW w:w="1716" w:type="dxa"/>
            <w:vMerge w:val="restart"/>
            <w:vAlign w:val="center"/>
          </w:tcPr>
          <w:p w14:paraId="192FC5CC" w14:textId="77777777" w:rsidR="006F0590" w:rsidRDefault="000D0DA9">
            <w:pPr>
              <w:jc w:val="center"/>
              <w:rPr>
                <w:rFonts w:ascii="宋体" w:hAnsi="宋体"/>
                <w:sz w:val="22"/>
                <w:szCs w:val="22"/>
              </w:rPr>
            </w:pPr>
            <w:r>
              <w:rPr>
                <w:rFonts w:ascii="宋体" w:hAnsi="宋体" w:hint="eastAsia"/>
                <w:sz w:val="22"/>
                <w:szCs w:val="22"/>
              </w:rPr>
              <w:t>政府证券</w:t>
            </w:r>
          </w:p>
        </w:tc>
        <w:tc>
          <w:tcPr>
            <w:tcW w:w="2694" w:type="dxa"/>
            <w:vAlign w:val="center"/>
          </w:tcPr>
          <w:p w14:paraId="58C3DF33" w14:textId="77777777" w:rsidR="006F0590" w:rsidRDefault="000D0DA9">
            <w:pPr>
              <w:jc w:val="center"/>
              <w:rPr>
                <w:rFonts w:ascii="宋体" w:hAnsi="宋体"/>
                <w:sz w:val="22"/>
                <w:szCs w:val="22"/>
              </w:rPr>
            </w:pPr>
            <w:r>
              <w:rPr>
                <w:rFonts w:ascii="宋体" w:hAnsi="宋体" w:hint="eastAsia"/>
                <w:sz w:val="22"/>
                <w:szCs w:val="22"/>
              </w:rPr>
              <w:t>AA-以上（含AA-）</w:t>
            </w:r>
          </w:p>
        </w:tc>
        <w:tc>
          <w:tcPr>
            <w:tcW w:w="4670" w:type="dxa"/>
            <w:gridSpan w:val="2"/>
            <w:vAlign w:val="center"/>
          </w:tcPr>
          <w:p w14:paraId="6D569B4A" w14:textId="77777777" w:rsidR="006F0590" w:rsidRDefault="000D0DA9">
            <w:pPr>
              <w:jc w:val="center"/>
              <w:rPr>
                <w:rFonts w:ascii="宋体" w:hAnsi="宋体"/>
                <w:sz w:val="22"/>
                <w:szCs w:val="22"/>
              </w:rPr>
            </w:pPr>
            <w:r>
              <w:rPr>
                <w:rFonts w:ascii="宋体" w:hAnsi="宋体" w:hint="eastAsia"/>
                <w:sz w:val="22"/>
                <w:szCs w:val="22"/>
              </w:rPr>
              <w:t>0%</w:t>
            </w:r>
          </w:p>
        </w:tc>
      </w:tr>
      <w:tr w:rsidR="006F0590" w14:paraId="76D093A5" w14:textId="77777777">
        <w:trPr>
          <w:trHeight w:val="270"/>
          <w:jc w:val="center"/>
        </w:trPr>
        <w:tc>
          <w:tcPr>
            <w:tcW w:w="1716" w:type="dxa"/>
            <w:vMerge/>
            <w:vAlign w:val="center"/>
          </w:tcPr>
          <w:p w14:paraId="728FA3D8" w14:textId="77777777" w:rsidR="006F0590" w:rsidRDefault="006F0590">
            <w:pPr>
              <w:jc w:val="center"/>
              <w:rPr>
                <w:rFonts w:ascii="宋体" w:hAnsi="宋体"/>
                <w:sz w:val="22"/>
                <w:szCs w:val="22"/>
              </w:rPr>
            </w:pPr>
          </w:p>
        </w:tc>
        <w:tc>
          <w:tcPr>
            <w:tcW w:w="2694" w:type="dxa"/>
            <w:vMerge w:val="restart"/>
            <w:vAlign w:val="center"/>
          </w:tcPr>
          <w:p w14:paraId="0B8D9899" w14:textId="77777777" w:rsidR="006F0590" w:rsidRDefault="000D0DA9">
            <w:pPr>
              <w:jc w:val="center"/>
              <w:rPr>
                <w:rFonts w:ascii="宋体" w:hAnsi="宋体"/>
                <w:sz w:val="22"/>
                <w:szCs w:val="22"/>
              </w:rPr>
            </w:pPr>
            <w:r>
              <w:rPr>
                <w:rFonts w:ascii="宋体" w:hAnsi="宋体" w:hint="eastAsia"/>
                <w:sz w:val="22"/>
                <w:szCs w:val="22"/>
              </w:rPr>
              <w:t>A+ 至 BBB-</w:t>
            </w:r>
          </w:p>
          <w:p w14:paraId="5223D443" w14:textId="77777777" w:rsidR="006F0590" w:rsidRDefault="000D0DA9">
            <w:pPr>
              <w:jc w:val="center"/>
              <w:rPr>
                <w:rFonts w:ascii="宋体" w:hAnsi="宋体"/>
                <w:sz w:val="22"/>
                <w:szCs w:val="22"/>
              </w:rPr>
            </w:pPr>
            <w:r>
              <w:rPr>
                <w:rFonts w:ascii="宋体" w:hAnsi="宋体" w:hint="eastAsia"/>
                <w:sz w:val="22"/>
                <w:szCs w:val="22"/>
              </w:rPr>
              <w:t>（含</w:t>
            </w:r>
            <w:r>
              <w:rPr>
                <w:rFonts w:ascii="宋体" w:hAnsi="宋体"/>
                <w:sz w:val="22"/>
                <w:szCs w:val="22"/>
              </w:rPr>
              <w:t>BBB</w:t>
            </w:r>
            <w:r>
              <w:rPr>
                <w:rFonts w:ascii="宋体" w:hAnsi="宋体" w:hint="eastAsia"/>
                <w:sz w:val="22"/>
                <w:szCs w:val="22"/>
              </w:rPr>
              <w:t>-）</w:t>
            </w:r>
          </w:p>
        </w:tc>
        <w:tc>
          <w:tcPr>
            <w:tcW w:w="4670" w:type="dxa"/>
            <w:gridSpan w:val="2"/>
            <w:vAlign w:val="center"/>
          </w:tcPr>
          <w:p w14:paraId="4392EE66" w14:textId="77777777" w:rsidR="006F0590" w:rsidRDefault="000D0DA9">
            <w:pPr>
              <w:jc w:val="center"/>
              <w:rPr>
                <w:rFonts w:ascii="宋体" w:hAnsi="宋体"/>
                <w:sz w:val="22"/>
                <w:szCs w:val="22"/>
              </w:rPr>
            </w:pPr>
            <w:r>
              <w:rPr>
                <w:rFonts w:ascii="宋体" w:hAnsi="宋体" w:hint="eastAsia"/>
                <w:sz w:val="22"/>
                <w:szCs w:val="22"/>
              </w:rPr>
              <w:t>0.25% (剩余期限不超过6个月)</w:t>
            </w:r>
          </w:p>
        </w:tc>
      </w:tr>
      <w:tr w:rsidR="006F0590" w14:paraId="454A60D3" w14:textId="77777777">
        <w:trPr>
          <w:trHeight w:val="270"/>
          <w:jc w:val="center"/>
        </w:trPr>
        <w:tc>
          <w:tcPr>
            <w:tcW w:w="1716" w:type="dxa"/>
            <w:vMerge/>
            <w:vAlign w:val="center"/>
          </w:tcPr>
          <w:p w14:paraId="3ABD23EB" w14:textId="77777777" w:rsidR="006F0590" w:rsidRDefault="006F0590">
            <w:pPr>
              <w:jc w:val="center"/>
              <w:rPr>
                <w:rFonts w:ascii="宋体" w:hAnsi="宋体"/>
                <w:sz w:val="22"/>
                <w:szCs w:val="22"/>
              </w:rPr>
            </w:pPr>
          </w:p>
        </w:tc>
        <w:tc>
          <w:tcPr>
            <w:tcW w:w="2694" w:type="dxa"/>
            <w:vMerge/>
            <w:vAlign w:val="center"/>
          </w:tcPr>
          <w:p w14:paraId="0517B555" w14:textId="77777777" w:rsidR="006F0590" w:rsidRDefault="006F0590">
            <w:pPr>
              <w:jc w:val="center"/>
              <w:rPr>
                <w:rFonts w:ascii="宋体" w:hAnsi="宋体"/>
                <w:sz w:val="22"/>
                <w:szCs w:val="22"/>
              </w:rPr>
            </w:pPr>
          </w:p>
        </w:tc>
        <w:tc>
          <w:tcPr>
            <w:tcW w:w="4670" w:type="dxa"/>
            <w:gridSpan w:val="2"/>
            <w:vAlign w:val="center"/>
          </w:tcPr>
          <w:p w14:paraId="799431E0" w14:textId="77777777" w:rsidR="006F0590" w:rsidRDefault="000D0DA9">
            <w:pPr>
              <w:jc w:val="center"/>
              <w:rPr>
                <w:rFonts w:ascii="宋体" w:hAnsi="宋体"/>
                <w:sz w:val="22"/>
                <w:szCs w:val="22"/>
              </w:rPr>
            </w:pPr>
            <w:r>
              <w:rPr>
                <w:rFonts w:ascii="宋体" w:hAnsi="宋体" w:hint="eastAsia"/>
                <w:sz w:val="22"/>
                <w:szCs w:val="22"/>
              </w:rPr>
              <w:t>1.00% (剩余期限为6至24个月)</w:t>
            </w:r>
          </w:p>
        </w:tc>
      </w:tr>
      <w:tr w:rsidR="006F0590" w14:paraId="64BE9ECC" w14:textId="77777777">
        <w:trPr>
          <w:trHeight w:val="270"/>
          <w:jc w:val="center"/>
        </w:trPr>
        <w:tc>
          <w:tcPr>
            <w:tcW w:w="1716" w:type="dxa"/>
            <w:vMerge/>
            <w:vAlign w:val="center"/>
          </w:tcPr>
          <w:p w14:paraId="517161A2" w14:textId="77777777" w:rsidR="006F0590" w:rsidRDefault="006F0590">
            <w:pPr>
              <w:jc w:val="center"/>
              <w:rPr>
                <w:rFonts w:ascii="宋体" w:hAnsi="宋体"/>
                <w:sz w:val="22"/>
                <w:szCs w:val="22"/>
              </w:rPr>
            </w:pPr>
          </w:p>
        </w:tc>
        <w:tc>
          <w:tcPr>
            <w:tcW w:w="2694" w:type="dxa"/>
            <w:vMerge/>
            <w:vAlign w:val="center"/>
          </w:tcPr>
          <w:p w14:paraId="05BB5BAC" w14:textId="77777777" w:rsidR="006F0590" w:rsidRDefault="006F0590">
            <w:pPr>
              <w:jc w:val="center"/>
              <w:rPr>
                <w:rFonts w:ascii="宋体" w:hAnsi="宋体"/>
                <w:sz w:val="22"/>
                <w:szCs w:val="22"/>
              </w:rPr>
            </w:pPr>
          </w:p>
        </w:tc>
        <w:tc>
          <w:tcPr>
            <w:tcW w:w="4670" w:type="dxa"/>
            <w:gridSpan w:val="2"/>
            <w:vAlign w:val="center"/>
          </w:tcPr>
          <w:p w14:paraId="7FB88476" w14:textId="77777777" w:rsidR="006F0590" w:rsidRDefault="000D0DA9">
            <w:pPr>
              <w:jc w:val="center"/>
              <w:rPr>
                <w:rFonts w:ascii="宋体" w:hAnsi="宋体"/>
                <w:sz w:val="22"/>
                <w:szCs w:val="22"/>
              </w:rPr>
            </w:pPr>
            <w:r>
              <w:rPr>
                <w:rFonts w:ascii="宋体" w:hAnsi="宋体" w:hint="eastAsia"/>
                <w:sz w:val="22"/>
                <w:szCs w:val="22"/>
              </w:rPr>
              <w:t>1.60% (剩余期限为24个月以上)</w:t>
            </w:r>
          </w:p>
        </w:tc>
      </w:tr>
      <w:tr w:rsidR="006F0590" w14:paraId="3BA21A82" w14:textId="77777777">
        <w:trPr>
          <w:trHeight w:val="270"/>
          <w:jc w:val="center"/>
        </w:trPr>
        <w:tc>
          <w:tcPr>
            <w:tcW w:w="1716" w:type="dxa"/>
            <w:vMerge/>
            <w:vAlign w:val="center"/>
          </w:tcPr>
          <w:p w14:paraId="7FDEE2BB" w14:textId="77777777" w:rsidR="006F0590" w:rsidRDefault="006F0590">
            <w:pPr>
              <w:jc w:val="center"/>
              <w:rPr>
                <w:rFonts w:ascii="宋体" w:hAnsi="宋体"/>
                <w:sz w:val="22"/>
                <w:szCs w:val="22"/>
              </w:rPr>
            </w:pPr>
          </w:p>
        </w:tc>
        <w:tc>
          <w:tcPr>
            <w:tcW w:w="2694" w:type="dxa"/>
            <w:vAlign w:val="center"/>
          </w:tcPr>
          <w:p w14:paraId="24AD0BFB" w14:textId="77777777" w:rsidR="006F0590" w:rsidRDefault="000D0DA9">
            <w:pPr>
              <w:jc w:val="center"/>
              <w:rPr>
                <w:rFonts w:ascii="宋体" w:hAnsi="宋体"/>
                <w:sz w:val="22"/>
                <w:szCs w:val="22"/>
              </w:rPr>
            </w:pPr>
            <w:r>
              <w:rPr>
                <w:rFonts w:ascii="宋体" w:hAnsi="宋体" w:hint="eastAsia"/>
                <w:sz w:val="22"/>
                <w:szCs w:val="22"/>
              </w:rPr>
              <w:t>BB+ 至 B-（含</w:t>
            </w:r>
            <w:r>
              <w:rPr>
                <w:rFonts w:ascii="宋体" w:hAnsi="宋体"/>
                <w:sz w:val="22"/>
                <w:szCs w:val="22"/>
              </w:rPr>
              <w:t>B</w:t>
            </w:r>
            <w:r>
              <w:rPr>
                <w:rFonts w:ascii="宋体" w:hAnsi="宋体" w:hint="eastAsia"/>
                <w:sz w:val="22"/>
                <w:szCs w:val="22"/>
              </w:rPr>
              <w:t>-）</w:t>
            </w:r>
          </w:p>
        </w:tc>
        <w:tc>
          <w:tcPr>
            <w:tcW w:w="4670" w:type="dxa"/>
            <w:gridSpan w:val="2"/>
            <w:vAlign w:val="center"/>
          </w:tcPr>
          <w:p w14:paraId="1DB17354" w14:textId="77777777" w:rsidR="006F0590" w:rsidRDefault="000D0DA9">
            <w:pPr>
              <w:jc w:val="center"/>
              <w:rPr>
                <w:rFonts w:ascii="宋体" w:hAnsi="宋体"/>
                <w:sz w:val="22"/>
                <w:szCs w:val="22"/>
              </w:rPr>
            </w:pPr>
            <w:r>
              <w:rPr>
                <w:rFonts w:ascii="宋体" w:hAnsi="宋体" w:hint="eastAsia"/>
                <w:sz w:val="22"/>
                <w:szCs w:val="22"/>
              </w:rPr>
              <w:t>8.00%</w:t>
            </w:r>
          </w:p>
        </w:tc>
      </w:tr>
      <w:tr w:rsidR="006F0590" w14:paraId="3D0537EE" w14:textId="77777777">
        <w:trPr>
          <w:trHeight w:val="270"/>
          <w:jc w:val="center"/>
        </w:trPr>
        <w:tc>
          <w:tcPr>
            <w:tcW w:w="1716" w:type="dxa"/>
            <w:vMerge/>
            <w:vAlign w:val="center"/>
          </w:tcPr>
          <w:p w14:paraId="54DFC185" w14:textId="77777777" w:rsidR="006F0590" w:rsidRDefault="006F0590">
            <w:pPr>
              <w:jc w:val="center"/>
              <w:rPr>
                <w:rFonts w:ascii="宋体" w:hAnsi="宋体"/>
                <w:sz w:val="22"/>
                <w:szCs w:val="22"/>
              </w:rPr>
            </w:pPr>
          </w:p>
        </w:tc>
        <w:tc>
          <w:tcPr>
            <w:tcW w:w="2694" w:type="dxa"/>
            <w:vAlign w:val="center"/>
          </w:tcPr>
          <w:p w14:paraId="270FF26B" w14:textId="77777777" w:rsidR="006F0590" w:rsidRDefault="000D0DA9">
            <w:pPr>
              <w:jc w:val="center"/>
              <w:rPr>
                <w:rFonts w:ascii="宋体" w:hAnsi="宋体"/>
                <w:sz w:val="22"/>
                <w:szCs w:val="22"/>
              </w:rPr>
            </w:pPr>
            <w:r>
              <w:rPr>
                <w:rFonts w:ascii="宋体" w:hAnsi="宋体" w:hint="eastAsia"/>
                <w:sz w:val="22"/>
                <w:szCs w:val="22"/>
              </w:rPr>
              <w:t>B-以下</w:t>
            </w:r>
          </w:p>
        </w:tc>
        <w:tc>
          <w:tcPr>
            <w:tcW w:w="4670" w:type="dxa"/>
            <w:gridSpan w:val="2"/>
            <w:vAlign w:val="center"/>
          </w:tcPr>
          <w:p w14:paraId="29D3CA50" w14:textId="77777777" w:rsidR="006F0590" w:rsidRDefault="000D0DA9">
            <w:pPr>
              <w:jc w:val="center"/>
              <w:rPr>
                <w:rFonts w:ascii="宋体" w:hAnsi="宋体"/>
                <w:sz w:val="22"/>
                <w:szCs w:val="22"/>
              </w:rPr>
            </w:pPr>
            <w:r>
              <w:rPr>
                <w:rFonts w:ascii="宋体" w:hAnsi="宋体" w:hint="eastAsia"/>
                <w:sz w:val="22"/>
                <w:szCs w:val="22"/>
              </w:rPr>
              <w:t>12.00%</w:t>
            </w:r>
          </w:p>
        </w:tc>
      </w:tr>
      <w:tr w:rsidR="006F0590" w14:paraId="6DB1C490" w14:textId="77777777">
        <w:trPr>
          <w:trHeight w:val="270"/>
          <w:jc w:val="center"/>
        </w:trPr>
        <w:tc>
          <w:tcPr>
            <w:tcW w:w="1716" w:type="dxa"/>
            <w:vMerge/>
            <w:vAlign w:val="center"/>
          </w:tcPr>
          <w:p w14:paraId="0C3F6946" w14:textId="77777777" w:rsidR="006F0590" w:rsidRDefault="006F0590">
            <w:pPr>
              <w:jc w:val="center"/>
              <w:rPr>
                <w:rFonts w:ascii="宋体" w:hAnsi="宋体"/>
                <w:sz w:val="22"/>
                <w:szCs w:val="22"/>
              </w:rPr>
            </w:pPr>
          </w:p>
        </w:tc>
        <w:tc>
          <w:tcPr>
            <w:tcW w:w="2694" w:type="dxa"/>
            <w:vAlign w:val="center"/>
          </w:tcPr>
          <w:p w14:paraId="77B664AA" w14:textId="77777777" w:rsidR="006F0590" w:rsidRDefault="000D0DA9">
            <w:pPr>
              <w:jc w:val="center"/>
              <w:rPr>
                <w:rFonts w:ascii="宋体" w:hAnsi="宋体"/>
                <w:sz w:val="22"/>
                <w:szCs w:val="22"/>
              </w:rPr>
            </w:pPr>
            <w:r>
              <w:rPr>
                <w:rFonts w:ascii="宋体" w:hAnsi="宋体" w:hint="eastAsia"/>
                <w:sz w:val="22"/>
                <w:szCs w:val="22"/>
              </w:rPr>
              <w:t>未评级</w:t>
            </w:r>
          </w:p>
        </w:tc>
        <w:tc>
          <w:tcPr>
            <w:tcW w:w="4670" w:type="dxa"/>
            <w:gridSpan w:val="2"/>
            <w:vAlign w:val="center"/>
          </w:tcPr>
          <w:p w14:paraId="2B40BD7A" w14:textId="77777777" w:rsidR="006F0590" w:rsidRDefault="000D0DA9">
            <w:pPr>
              <w:jc w:val="center"/>
              <w:rPr>
                <w:rFonts w:ascii="宋体" w:hAnsi="宋体"/>
                <w:sz w:val="22"/>
                <w:szCs w:val="22"/>
              </w:rPr>
            </w:pPr>
            <w:r>
              <w:rPr>
                <w:rFonts w:ascii="宋体" w:hAnsi="宋体" w:hint="eastAsia"/>
                <w:sz w:val="22"/>
                <w:szCs w:val="22"/>
              </w:rPr>
              <w:t>8.00%</w:t>
            </w:r>
          </w:p>
        </w:tc>
      </w:tr>
      <w:tr w:rsidR="006F0590" w14:paraId="1E1B757C" w14:textId="77777777">
        <w:trPr>
          <w:trHeight w:val="270"/>
          <w:jc w:val="center"/>
        </w:trPr>
        <w:tc>
          <w:tcPr>
            <w:tcW w:w="1716" w:type="dxa"/>
            <w:vMerge w:val="restart"/>
            <w:vAlign w:val="center"/>
          </w:tcPr>
          <w:p w14:paraId="57CEC0F2" w14:textId="77777777" w:rsidR="006F0590" w:rsidRDefault="000D0DA9">
            <w:pPr>
              <w:jc w:val="center"/>
              <w:rPr>
                <w:rFonts w:ascii="宋体" w:hAnsi="宋体"/>
                <w:sz w:val="22"/>
                <w:szCs w:val="22"/>
              </w:rPr>
            </w:pPr>
            <w:r>
              <w:rPr>
                <w:rFonts w:ascii="宋体" w:hAnsi="宋体" w:hint="eastAsia"/>
                <w:sz w:val="22"/>
                <w:szCs w:val="22"/>
              </w:rPr>
              <w:t>合格证券</w:t>
            </w:r>
          </w:p>
        </w:tc>
        <w:tc>
          <w:tcPr>
            <w:tcW w:w="2702" w:type="dxa"/>
            <w:gridSpan w:val="2"/>
            <w:vMerge w:val="restart"/>
            <w:vAlign w:val="center"/>
          </w:tcPr>
          <w:p w14:paraId="31CCEED7" w14:textId="77777777" w:rsidR="006F0590" w:rsidRDefault="000D0DA9">
            <w:pPr>
              <w:jc w:val="center"/>
              <w:rPr>
                <w:rFonts w:ascii="宋体" w:hAnsi="宋体"/>
                <w:sz w:val="22"/>
                <w:szCs w:val="22"/>
              </w:rPr>
            </w:pPr>
            <w:r>
              <w:rPr>
                <w:rFonts w:ascii="宋体" w:hAnsi="宋体" w:hint="eastAsia"/>
                <w:sz w:val="22"/>
                <w:szCs w:val="22"/>
              </w:rPr>
              <w:t>BB+以上（不含BB+）</w:t>
            </w:r>
          </w:p>
        </w:tc>
        <w:tc>
          <w:tcPr>
            <w:tcW w:w="4662" w:type="dxa"/>
            <w:vAlign w:val="center"/>
          </w:tcPr>
          <w:p w14:paraId="1DF3694D" w14:textId="77777777" w:rsidR="006F0590" w:rsidRDefault="000D0DA9">
            <w:pPr>
              <w:jc w:val="center"/>
              <w:rPr>
                <w:rFonts w:ascii="宋体" w:hAnsi="宋体"/>
                <w:sz w:val="22"/>
                <w:szCs w:val="22"/>
              </w:rPr>
            </w:pPr>
            <w:r>
              <w:rPr>
                <w:rFonts w:ascii="宋体" w:hAnsi="宋体" w:hint="eastAsia"/>
                <w:sz w:val="22"/>
                <w:szCs w:val="22"/>
              </w:rPr>
              <w:t>0.25% (剩余期限不超过6个月)</w:t>
            </w:r>
          </w:p>
        </w:tc>
      </w:tr>
      <w:tr w:rsidR="006F0590" w14:paraId="1CC1A350" w14:textId="77777777">
        <w:trPr>
          <w:trHeight w:val="270"/>
          <w:jc w:val="center"/>
        </w:trPr>
        <w:tc>
          <w:tcPr>
            <w:tcW w:w="1716" w:type="dxa"/>
            <w:vMerge/>
            <w:vAlign w:val="center"/>
          </w:tcPr>
          <w:p w14:paraId="1E76C69A" w14:textId="77777777" w:rsidR="006F0590" w:rsidRDefault="006F0590">
            <w:pPr>
              <w:jc w:val="center"/>
              <w:rPr>
                <w:rFonts w:ascii="宋体" w:hAnsi="宋体"/>
                <w:sz w:val="22"/>
                <w:szCs w:val="22"/>
              </w:rPr>
            </w:pPr>
          </w:p>
        </w:tc>
        <w:tc>
          <w:tcPr>
            <w:tcW w:w="2702" w:type="dxa"/>
            <w:gridSpan w:val="2"/>
            <w:vMerge/>
            <w:vAlign w:val="center"/>
          </w:tcPr>
          <w:p w14:paraId="4DADD065" w14:textId="77777777" w:rsidR="006F0590" w:rsidRDefault="006F0590">
            <w:pPr>
              <w:jc w:val="center"/>
              <w:rPr>
                <w:rFonts w:ascii="宋体" w:hAnsi="宋体"/>
                <w:sz w:val="22"/>
                <w:szCs w:val="22"/>
              </w:rPr>
            </w:pPr>
          </w:p>
        </w:tc>
        <w:tc>
          <w:tcPr>
            <w:tcW w:w="4662" w:type="dxa"/>
            <w:vAlign w:val="center"/>
          </w:tcPr>
          <w:p w14:paraId="2020935A" w14:textId="77777777" w:rsidR="006F0590" w:rsidRDefault="000D0DA9">
            <w:pPr>
              <w:jc w:val="center"/>
              <w:rPr>
                <w:rFonts w:ascii="宋体" w:hAnsi="宋体"/>
                <w:sz w:val="22"/>
                <w:szCs w:val="22"/>
              </w:rPr>
            </w:pPr>
            <w:r>
              <w:rPr>
                <w:rFonts w:ascii="宋体" w:hAnsi="宋体" w:hint="eastAsia"/>
                <w:sz w:val="22"/>
                <w:szCs w:val="22"/>
              </w:rPr>
              <w:t>1.00% (剩余期限为6至24个月)</w:t>
            </w:r>
          </w:p>
        </w:tc>
      </w:tr>
      <w:tr w:rsidR="006F0590" w14:paraId="4B7BB766" w14:textId="77777777">
        <w:trPr>
          <w:trHeight w:val="270"/>
          <w:jc w:val="center"/>
        </w:trPr>
        <w:tc>
          <w:tcPr>
            <w:tcW w:w="1716" w:type="dxa"/>
            <w:vMerge/>
            <w:vAlign w:val="center"/>
          </w:tcPr>
          <w:p w14:paraId="4BA2EFB4" w14:textId="77777777" w:rsidR="006F0590" w:rsidRDefault="006F0590">
            <w:pPr>
              <w:jc w:val="center"/>
              <w:rPr>
                <w:rFonts w:ascii="宋体" w:hAnsi="宋体"/>
                <w:sz w:val="22"/>
                <w:szCs w:val="22"/>
              </w:rPr>
            </w:pPr>
          </w:p>
        </w:tc>
        <w:tc>
          <w:tcPr>
            <w:tcW w:w="2702" w:type="dxa"/>
            <w:gridSpan w:val="2"/>
            <w:vMerge/>
            <w:vAlign w:val="center"/>
          </w:tcPr>
          <w:p w14:paraId="44D2BCB5" w14:textId="77777777" w:rsidR="006F0590" w:rsidRDefault="006F0590">
            <w:pPr>
              <w:jc w:val="center"/>
              <w:rPr>
                <w:rFonts w:ascii="宋体" w:hAnsi="宋体"/>
                <w:sz w:val="22"/>
                <w:szCs w:val="22"/>
              </w:rPr>
            </w:pPr>
          </w:p>
        </w:tc>
        <w:tc>
          <w:tcPr>
            <w:tcW w:w="4662" w:type="dxa"/>
            <w:vAlign w:val="center"/>
          </w:tcPr>
          <w:p w14:paraId="639E504E" w14:textId="77777777" w:rsidR="006F0590" w:rsidRDefault="000D0DA9">
            <w:pPr>
              <w:jc w:val="center"/>
              <w:rPr>
                <w:rFonts w:ascii="宋体" w:hAnsi="宋体"/>
                <w:sz w:val="22"/>
                <w:szCs w:val="22"/>
              </w:rPr>
            </w:pPr>
            <w:r>
              <w:rPr>
                <w:rFonts w:ascii="宋体" w:hAnsi="宋体" w:hint="eastAsia"/>
                <w:sz w:val="22"/>
                <w:szCs w:val="22"/>
              </w:rPr>
              <w:t>1.60% (剩余期限为24个月以上)</w:t>
            </w:r>
          </w:p>
        </w:tc>
      </w:tr>
      <w:tr w:rsidR="006F0590" w14:paraId="15639590" w14:textId="77777777">
        <w:trPr>
          <w:trHeight w:val="555"/>
          <w:jc w:val="center"/>
        </w:trPr>
        <w:tc>
          <w:tcPr>
            <w:tcW w:w="1716" w:type="dxa"/>
            <w:vAlign w:val="center"/>
          </w:tcPr>
          <w:p w14:paraId="64378F95" w14:textId="77777777" w:rsidR="006F0590" w:rsidRDefault="000D0DA9">
            <w:pPr>
              <w:jc w:val="center"/>
              <w:rPr>
                <w:rFonts w:ascii="宋体" w:hAnsi="宋体"/>
                <w:sz w:val="22"/>
                <w:szCs w:val="22"/>
              </w:rPr>
            </w:pPr>
            <w:r>
              <w:rPr>
                <w:rFonts w:ascii="宋体" w:hAnsi="宋体" w:hint="eastAsia"/>
                <w:sz w:val="22"/>
                <w:szCs w:val="22"/>
              </w:rPr>
              <w:t>其它</w:t>
            </w:r>
          </w:p>
        </w:tc>
        <w:tc>
          <w:tcPr>
            <w:tcW w:w="7364" w:type="dxa"/>
            <w:gridSpan w:val="3"/>
            <w:vAlign w:val="center"/>
          </w:tcPr>
          <w:p w14:paraId="428C2491" w14:textId="77777777" w:rsidR="006F0590" w:rsidRDefault="000D0DA9">
            <w:pPr>
              <w:jc w:val="left"/>
              <w:rPr>
                <w:rFonts w:ascii="宋体" w:hAnsi="宋体"/>
                <w:sz w:val="22"/>
                <w:szCs w:val="22"/>
              </w:rPr>
            </w:pPr>
            <w:r>
              <w:rPr>
                <w:rFonts w:ascii="宋体" w:hAnsi="宋体" w:hint="eastAsia"/>
                <w:sz w:val="22"/>
                <w:szCs w:val="22"/>
              </w:rPr>
              <w:t>外部评级为BB+以下（含）的证券以及未评级证券的资本计提比率为证券主体所适用的信用风险权重除以12.5，风险权重见本办法附件3。</w:t>
            </w:r>
          </w:p>
        </w:tc>
      </w:tr>
    </w:tbl>
    <w:p w14:paraId="286D6259" w14:textId="6040F6B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1.政府证券包含各国中央政府和中央银行发行的各类债券和短期融资工具。</w:t>
      </w:r>
    </w:p>
    <w:p w14:paraId="0762AA2E"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我国中央政府</w:t>
      </w:r>
      <w:r>
        <w:rPr>
          <w:rFonts w:ascii="Calibri" w:eastAsia="仿宋_GB2312" w:hAnsi="Calibri" w:hint="eastAsia"/>
          <w:sz w:val="30"/>
          <w:szCs w:val="30"/>
        </w:rPr>
        <w:t>、</w:t>
      </w:r>
      <w:r>
        <w:rPr>
          <w:rFonts w:ascii="仿宋_GB2312" w:eastAsia="仿宋_GB2312" w:hint="eastAsia"/>
          <w:sz w:val="30"/>
          <w:szCs w:val="30"/>
        </w:rPr>
        <w:t>中国人民银行、开发性金融机构和政策性银行</w:t>
      </w:r>
      <w:r>
        <w:rPr>
          <w:rFonts w:ascii="仿宋_GB2312" w:eastAsia="仿宋_GB2312" w:hint="eastAsia"/>
          <w:sz w:val="30"/>
          <w:szCs w:val="30"/>
        </w:rPr>
        <w:lastRenderedPageBreak/>
        <w:t>发行的债券的资本计提比率均为0%。</w:t>
      </w:r>
    </w:p>
    <w:p w14:paraId="6F2762E0" w14:textId="3745C3F1"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2.合格证券包括：</w:t>
      </w:r>
    </w:p>
    <w:p w14:paraId="5509261B"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（1）多边开发银行、国际清算银行和国际货币基金组织发行的债券。</w:t>
      </w:r>
    </w:p>
    <w:p w14:paraId="5B07C807" w14:textId="77777777" w:rsidR="006F0590" w:rsidRDefault="000D0DA9">
      <w:pPr>
        <w:spacing w:line="480" w:lineRule="exact"/>
        <w:ind w:firstLineChars="200" w:firstLine="600"/>
        <w:rPr>
          <w:rFonts w:ascii="Calibri" w:eastAsia="仿宋_GB2312" w:hAnsi="Calibri"/>
          <w:sz w:val="30"/>
          <w:szCs w:val="30"/>
        </w:rPr>
      </w:pPr>
      <w:r>
        <w:rPr>
          <w:rFonts w:ascii="仿宋_GB2312" w:eastAsia="仿宋_GB2312" w:hint="eastAsia"/>
          <w:sz w:val="30"/>
          <w:szCs w:val="30"/>
        </w:rPr>
        <w:t>（2）我国地方政府、公共部门实体发行的债券，若无法获取前述发行主体的外部评级，可使用债项评级。</w:t>
      </w:r>
    </w:p>
    <w:p w14:paraId="549195CD" w14:textId="0A7AB8E4"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（3）被至少两家合格外部评级机构评为投资级别的发行主体发行的债券。投资级别应符合本办法附件2</w:t>
      </w:r>
      <w:r>
        <w:rPr>
          <w:rFonts w:ascii="仿宋_GB2312" w:eastAsia="仿宋_GB2312"/>
          <w:sz w:val="30"/>
          <w:szCs w:val="30"/>
        </w:rPr>
        <w:t>5</w:t>
      </w:r>
      <w:r w:rsidR="002D1597">
        <w:rPr>
          <w:rFonts w:ascii="仿宋_GB2312" w:eastAsia="仿宋_GB2312" w:hint="eastAsia"/>
          <w:sz w:val="30"/>
          <w:szCs w:val="30"/>
        </w:rPr>
        <w:t>要求</w:t>
      </w:r>
      <w:r>
        <w:rPr>
          <w:rFonts w:ascii="仿宋_GB2312" w:eastAsia="仿宋_GB2312" w:hint="eastAsia"/>
          <w:sz w:val="30"/>
          <w:szCs w:val="30"/>
        </w:rPr>
        <w:t>。</w:t>
      </w:r>
    </w:p>
    <w:p w14:paraId="702CAA78" w14:textId="2113A91E"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3.对于其他发行主体发行的债券，其资本计提比率为证券发行主体所对应的信用风险权重除以12.5，具体风险权重根据本办法附件3确定。</w:t>
      </w:r>
    </w:p>
    <w:p w14:paraId="7C94A4FE" w14:textId="0A4BB6C6"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对于证券化工具，其资本计提比率为其风险权重除以12.5，具体风险权重根据本办法附件1</w:t>
      </w:r>
      <w:r>
        <w:rPr>
          <w:rFonts w:ascii="仿宋_GB2312" w:eastAsia="仿宋_GB2312"/>
          <w:sz w:val="30"/>
          <w:szCs w:val="30"/>
        </w:rPr>
        <w:t>1</w:t>
      </w:r>
      <w:r>
        <w:rPr>
          <w:rFonts w:ascii="仿宋_GB2312" w:eastAsia="仿宋_GB2312" w:hint="eastAsia"/>
          <w:sz w:val="30"/>
          <w:szCs w:val="30"/>
        </w:rPr>
        <w:t>确定。</w:t>
      </w:r>
    </w:p>
    <w:p w14:paraId="6D8A9796" w14:textId="77777777" w:rsidR="006F0590" w:rsidRDefault="000D0DA9">
      <w:pPr>
        <w:snapToGrid w:val="0"/>
        <w:spacing w:line="480" w:lineRule="exact"/>
        <w:ind w:firstLineChars="200" w:firstLine="600"/>
        <w:outlineLvl w:val="1"/>
        <w:rPr>
          <w:rFonts w:ascii="楷体_GB2312" w:eastAsia="楷体_GB2312" w:hAnsi="楷体"/>
          <w:bCs/>
          <w:sz w:val="30"/>
          <w:szCs w:val="30"/>
        </w:rPr>
      </w:pPr>
      <w:r>
        <w:rPr>
          <w:rFonts w:ascii="楷体_GB2312" w:eastAsia="楷体_GB2312" w:hAnsi="楷体" w:hint="eastAsia"/>
          <w:bCs/>
          <w:sz w:val="30"/>
          <w:szCs w:val="30"/>
        </w:rPr>
        <w:t>（二）一般市场风险</w:t>
      </w:r>
    </w:p>
    <w:p w14:paraId="78E6444F" w14:textId="15AF795D" w:rsidR="006F0590" w:rsidRDefault="000D0DA9">
      <w:pPr>
        <w:snapToGrid w:val="0"/>
        <w:spacing w:line="480" w:lineRule="exact"/>
        <w:ind w:firstLineChars="200" w:firstLine="600"/>
        <w:rPr>
          <w:rFonts w:ascii="仿宋_GB2312" w:eastAsia="仿宋_GB2312"/>
          <w:sz w:val="30"/>
          <w:szCs w:val="30"/>
        </w:rPr>
      </w:pPr>
      <w:r>
        <w:rPr>
          <w:rFonts w:ascii="仿宋_GB2312" w:eastAsia="仿宋_GB2312" w:hint="eastAsia"/>
          <w:sz w:val="30"/>
          <w:szCs w:val="30"/>
        </w:rPr>
        <w:t>1.一般市场风险的资本要求包含以下三部分：</w:t>
      </w:r>
    </w:p>
    <w:p w14:paraId="34D77D6A" w14:textId="77777777" w:rsidR="006F0590" w:rsidRDefault="000D0DA9">
      <w:pPr>
        <w:autoSpaceDE w:val="0"/>
        <w:autoSpaceDN w:val="0"/>
        <w:adjustRightInd w:val="0"/>
        <w:spacing w:line="480" w:lineRule="exact"/>
        <w:ind w:firstLineChars="200" w:firstLine="600"/>
        <w:jc w:val="left"/>
        <w:rPr>
          <w:rFonts w:ascii="仿宋_GB2312" w:eastAsia="仿宋_GB2312"/>
          <w:sz w:val="30"/>
          <w:szCs w:val="30"/>
        </w:rPr>
      </w:pPr>
      <w:r>
        <w:rPr>
          <w:rFonts w:ascii="仿宋_GB2312" w:eastAsia="仿宋_GB2312" w:hint="eastAsia"/>
          <w:sz w:val="30"/>
          <w:szCs w:val="30"/>
        </w:rPr>
        <w:t>（1）每时段内加权多头和空头头寸可相互对冲的部分所对应的垂直资本要求。</w:t>
      </w:r>
    </w:p>
    <w:p w14:paraId="49F328F1"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（2）不同时段间加权多头和空头头寸可相互对冲的部分所对应的横向资本要求。</w:t>
      </w:r>
    </w:p>
    <w:p w14:paraId="107692CD" w14:textId="77777777" w:rsidR="006F0590" w:rsidRDefault="000D0DA9">
      <w:pPr>
        <w:spacing w:line="480" w:lineRule="exact"/>
        <w:ind w:firstLineChars="200" w:firstLine="600"/>
        <w:rPr>
          <w:rFonts w:ascii="Calibri" w:eastAsia="仿宋_GB2312" w:hAnsi="Calibri"/>
          <w:sz w:val="30"/>
          <w:szCs w:val="30"/>
        </w:rPr>
      </w:pPr>
      <w:r>
        <w:rPr>
          <w:rFonts w:ascii="仿宋_GB2312" w:eastAsia="仿宋_GB2312" w:hint="eastAsia"/>
          <w:sz w:val="30"/>
          <w:szCs w:val="30"/>
        </w:rPr>
        <w:t>（3）整个交易账簿的加权净多头或净空头头寸所对应的资本要求。</w:t>
      </w:r>
    </w:p>
    <w:p w14:paraId="2FEA6F82" w14:textId="41F1756F" w:rsidR="006F0590" w:rsidRDefault="000D0DA9">
      <w:pPr>
        <w:snapToGrid w:val="0"/>
        <w:spacing w:line="48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.商业银行可以采用到期日法或久期法</w:t>
      </w:r>
      <w:r w:rsidR="00372714">
        <w:rPr>
          <w:rFonts w:ascii="仿宋_GB2312" w:eastAsia="仿宋_GB2312" w:hint="eastAsia"/>
          <w:sz w:val="30"/>
          <w:szCs w:val="30"/>
        </w:rPr>
        <w:t>计量</w:t>
      </w:r>
      <w:r>
        <w:rPr>
          <w:rFonts w:ascii="仿宋_GB2312" w:eastAsia="仿宋_GB2312" w:hint="eastAsia"/>
          <w:sz w:val="30"/>
          <w:szCs w:val="30"/>
        </w:rPr>
        <w:t>利率风险的一般市场风险资本要求。</w:t>
      </w:r>
    </w:p>
    <w:p w14:paraId="4FC48812" w14:textId="30095157" w:rsidR="006F0590" w:rsidRDefault="000D0DA9">
      <w:pPr>
        <w:spacing w:line="48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.商业银行采用到期日法</w:t>
      </w:r>
      <w:r w:rsidR="00372714">
        <w:rPr>
          <w:rFonts w:ascii="仿宋_GB2312" w:eastAsia="仿宋_GB2312" w:hint="eastAsia"/>
          <w:sz w:val="30"/>
          <w:szCs w:val="30"/>
        </w:rPr>
        <w:t>计量</w:t>
      </w:r>
      <w:r>
        <w:rPr>
          <w:rFonts w:ascii="仿宋_GB2312" w:eastAsia="仿宋_GB2312" w:hint="eastAsia"/>
          <w:sz w:val="30"/>
          <w:szCs w:val="30"/>
        </w:rPr>
        <w:t>一般市场风险资本要求，应先对各头寸划分时区和时段，时段的划分和匹配的风险权重见表2，时区的划分和匹配的风险权重见表3。到期日法具体</w:t>
      </w:r>
      <w:r w:rsidR="00372714">
        <w:rPr>
          <w:rFonts w:ascii="仿宋_GB2312" w:eastAsia="仿宋_GB2312" w:hint="eastAsia"/>
          <w:sz w:val="30"/>
          <w:szCs w:val="30"/>
        </w:rPr>
        <w:t>计量</w:t>
      </w:r>
      <w:r>
        <w:rPr>
          <w:rFonts w:ascii="仿宋_GB2312" w:eastAsia="仿宋_GB2312" w:hint="eastAsia"/>
          <w:sz w:val="30"/>
          <w:szCs w:val="30"/>
        </w:rPr>
        <w:t>步骤如下：</w:t>
      </w:r>
    </w:p>
    <w:p w14:paraId="41A4FD12" w14:textId="70823F0F"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lastRenderedPageBreak/>
        <w:t>（1）各时段的头寸乘以相应的风险权重</w:t>
      </w:r>
      <w:r w:rsidR="00372714">
        <w:rPr>
          <w:rFonts w:ascii="仿宋_GB2312" w:eastAsia="仿宋_GB2312" w:hint="eastAsia"/>
          <w:sz w:val="30"/>
          <w:szCs w:val="30"/>
        </w:rPr>
        <w:t>计量</w:t>
      </w:r>
      <w:r>
        <w:rPr>
          <w:rFonts w:ascii="仿宋_GB2312" w:eastAsia="仿宋_GB2312" w:hint="eastAsia"/>
          <w:sz w:val="30"/>
          <w:szCs w:val="30"/>
        </w:rPr>
        <w:t>各时段的加权头寸。</w:t>
      </w:r>
    </w:p>
    <w:p w14:paraId="718D6FE8"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）各时段的加权多头、空头头寸可相互对冲的部分乘以10％得出垂直资本要求。</w:t>
      </w:r>
    </w:p>
    <w:p w14:paraId="5A0B055A"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3</w:t>
      </w:r>
      <w:r>
        <w:rPr>
          <w:rFonts w:ascii="仿宋_GB2312" w:eastAsia="仿宋_GB2312" w:hint="eastAsia"/>
          <w:sz w:val="30"/>
          <w:szCs w:val="30"/>
        </w:rPr>
        <w:t>）各时段的加权多头头寸和加权空头头寸进行抵消得出各个时段的加权头寸净额；将在各时区内不同时段的加权头寸净额之间的可相互对冲的部分乘以表3所列的同一区内的权重得出各个时区内的横向资本要求。</w:t>
      </w:r>
    </w:p>
    <w:p w14:paraId="73D92116"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4</w:t>
      </w:r>
      <w:r>
        <w:rPr>
          <w:rFonts w:ascii="仿宋_GB2312" w:eastAsia="仿宋_GB2312" w:hint="eastAsia"/>
          <w:sz w:val="30"/>
          <w:szCs w:val="30"/>
        </w:rPr>
        <w:t>）各时区内全部时段的加权头寸净额进行抵消，得出各时区加权头寸净额；每两个时区加权头寸净额之间可相互对冲的部分乘以表3所列的相邻区内以及1区和3区之间的权重得出时区间的横向资本要求。</w:t>
      </w:r>
    </w:p>
    <w:p w14:paraId="6BD74F90" w14:textId="77777777" w:rsidR="006F0590" w:rsidRDefault="000D0DA9">
      <w:pPr>
        <w:spacing w:line="480" w:lineRule="exact"/>
        <w:ind w:firstLineChars="200" w:firstLine="600"/>
        <w:rPr>
          <w:rFonts w:ascii="仿宋_GB2312" w:eastAsia="仿宋_GB2312"/>
          <w:b/>
          <w:sz w:val="30"/>
          <w:szCs w:val="30"/>
        </w:rPr>
      </w:pPr>
      <w:r>
        <w:rPr>
          <w:rFonts w:ascii="仿宋_GB2312" w:eastAsia="仿宋_GB2312" w:hint="eastAsia"/>
          <w:sz w:val="30"/>
          <w:szCs w:val="30"/>
        </w:rPr>
        <w:t>（</w:t>
      </w:r>
      <w:r>
        <w:rPr>
          <w:rFonts w:ascii="仿宋_GB2312" w:eastAsia="仿宋_GB2312"/>
          <w:sz w:val="30"/>
          <w:szCs w:val="30"/>
        </w:rPr>
        <w:t>5</w:t>
      </w:r>
      <w:r>
        <w:rPr>
          <w:rFonts w:ascii="仿宋_GB2312" w:eastAsia="仿宋_GB2312" w:hint="eastAsia"/>
          <w:sz w:val="30"/>
          <w:szCs w:val="30"/>
        </w:rPr>
        <w:t>）各时区加权头寸净额进行抵消，得出整个交易账簿的加权净多头或净空头头寸所对应的资本要求。</w:t>
      </w:r>
    </w:p>
    <w:p w14:paraId="3E1429D8" w14:textId="77777777" w:rsidR="006F0590" w:rsidRDefault="000D0DA9">
      <w:pPr>
        <w:snapToGrid w:val="0"/>
        <w:spacing w:line="480" w:lineRule="exact"/>
        <w:jc w:val="center"/>
        <w:rPr>
          <w:rFonts w:ascii="楷体_GB2312" w:eastAsia="楷体_GB2312"/>
          <w:b/>
          <w:sz w:val="28"/>
          <w:szCs w:val="28"/>
        </w:rPr>
      </w:pPr>
      <w:r>
        <w:rPr>
          <w:rFonts w:ascii="楷体_GB2312" w:eastAsia="楷体_GB2312" w:hint="eastAsia"/>
          <w:b/>
          <w:sz w:val="28"/>
          <w:szCs w:val="28"/>
        </w:rPr>
        <w:t>表2 时段和权重</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21"/>
        <w:gridCol w:w="2681"/>
        <w:gridCol w:w="1431"/>
        <w:gridCol w:w="2111"/>
      </w:tblGrid>
      <w:tr w:rsidR="006F0590" w14:paraId="62D072A0" w14:textId="77777777">
        <w:trPr>
          <w:tblHeade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69617EA" w14:textId="77777777" w:rsidR="006F0590" w:rsidRDefault="000D0DA9">
            <w:pPr>
              <w:jc w:val="center"/>
              <w:rPr>
                <w:rFonts w:ascii="宋体" w:hAnsi="宋体"/>
                <w:b/>
                <w:sz w:val="24"/>
              </w:rPr>
            </w:pPr>
            <w:r>
              <w:rPr>
                <w:rFonts w:ascii="宋体" w:hAnsi="宋体" w:hint="eastAsia"/>
                <w:b/>
                <w:sz w:val="24"/>
              </w:rPr>
              <w:t>票面利率不小于</w:t>
            </w:r>
            <w:r>
              <w:rPr>
                <w:rFonts w:ascii="宋体" w:hAnsi="宋体"/>
                <w:b/>
                <w:sz w:val="24"/>
              </w:rPr>
              <w:t>3％</w:t>
            </w:r>
          </w:p>
        </w:tc>
        <w:tc>
          <w:tcPr>
            <w:tcW w:w="2681" w:type="dxa"/>
            <w:tcBorders>
              <w:top w:val="single" w:sz="4" w:space="0" w:color="auto"/>
              <w:left w:val="single" w:sz="4" w:space="0" w:color="auto"/>
              <w:bottom w:val="single" w:sz="4" w:space="0" w:color="auto"/>
              <w:right w:val="single" w:sz="4" w:space="0" w:color="auto"/>
            </w:tcBorders>
            <w:vAlign w:val="center"/>
          </w:tcPr>
          <w:p w14:paraId="67203AAE" w14:textId="77777777" w:rsidR="006F0590" w:rsidRDefault="000D0DA9">
            <w:pPr>
              <w:jc w:val="center"/>
              <w:rPr>
                <w:rFonts w:ascii="宋体" w:hAnsi="宋体"/>
                <w:b/>
                <w:sz w:val="24"/>
              </w:rPr>
            </w:pPr>
            <w:r>
              <w:rPr>
                <w:rFonts w:ascii="宋体" w:hAnsi="宋体" w:hint="eastAsia"/>
                <w:b/>
                <w:sz w:val="24"/>
              </w:rPr>
              <w:t>票面利率小于</w:t>
            </w:r>
            <w:r>
              <w:rPr>
                <w:rFonts w:ascii="宋体" w:hAnsi="宋体"/>
                <w:b/>
                <w:sz w:val="24"/>
              </w:rPr>
              <w:t>3％</w:t>
            </w:r>
          </w:p>
        </w:tc>
        <w:tc>
          <w:tcPr>
            <w:tcW w:w="1431" w:type="dxa"/>
            <w:tcBorders>
              <w:top w:val="single" w:sz="4" w:space="0" w:color="auto"/>
              <w:left w:val="single" w:sz="4" w:space="0" w:color="auto"/>
              <w:bottom w:val="single" w:sz="4" w:space="0" w:color="auto"/>
              <w:right w:val="single" w:sz="4" w:space="0" w:color="auto"/>
            </w:tcBorders>
            <w:vAlign w:val="center"/>
          </w:tcPr>
          <w:p w14:paraId="5A781AC6" w14:textId="77777777" w:rsidR="006F0590" w:rsidRDefault="000D0DA9">
            <w:pPr>
              <w:jc w:val="center"/>
              <w:rPr>
                <w:rFonts w:ascii="宋体" w:hAnsi="宋体"/>
                <w:b/>
                <w:sz w:val="24"/>
              </w:rPr>
            </w:pPr>
            <w:r>
              <w:rPr>
                <w:rFonts w:ascii="宋体" w:hAnsi="宋体" w:hint="eastAsia"/>
                <w:b/>
                <w:sz w:val="24"/>
              </w:rPr>
              <w:t>风险权重</w:t>
            </w:r>
          </w:p>
        </w:tc>
        <w:tc>
          <w:tcPr>
            <w:tcW w:w="2111" w:type="dxa"/>
            <w:tcBorders>
              <w:top w:val="single" w:sz="4" w:space="0" w:color="auto"/>
              <w:left w:val="single" w:sz="4" w:space="0" w:color="auto"/>
              <w:bottom w:val="single" w:sz="4" w:space="0" w:color="auto"/>
              <w:right w:val="single" w:sz="4" w:space="0" w:color="auto"/>
            </w:tcBorders>
            <w:vAlign w:val="center"/>
          </w:tcPr>
          <w:p w14:paraId="4CA7F78B" w14:textId="77777777" w:rsidR="006F0590" w:rsidRDefault="000D0DA9">
            <w:pPr>
              <w:jc w:val="center"/>
              <w:rPr>
                <w:rFonts w:ascii="宋体" w:hAnsi="宋体"/>
                <w:b/>
                <w:sz w:val="24"/>
              </w:rPr>
            </w:pPr>
            <w:r>
              <w:rPr>
                <w:rFonts w:ascii="宋体" w:hAnsi="宋体" w:hint="eastAsia"/>
                <w:b/>
                <w:sz w:val="24"/>
              </w:rPr>
              <w:t>假定收益率变化</w:t>
            </w:r>
          </w:p>
        </w:tc>
      </w:tr>
      <w:tr w:rsidR="006F0590" w14:paraId="53EE53C8"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1CA49E0" w14:textId="77777777" w:rsidR="006F0590" w:rsidRDefault="000D0DA9">
            <w:pPr>
              <w:jc w:val="center"/>
              <w:rPr>
                <w:rFonts w:ascii="宋体" w:hAnsi="宋体"/>
                <w:sz w:val="24"/>
              </w:rPr>
            </w:pPr>
            <w:r>
              <w:rPr>
                <w:rFonts w:ascii="宋体" w:hAnsi="宋体" w:hint="eastAsia"/>
                <w:sz w:val="24"/>
              </w:rPr>
              <w:t>不长于</w:t>
            </w:r>
            <w:r>
              <w:rPr>
                <w:rFonts w:ascii="宋体" w:hAnsi="宋体"/>
                <w:sz w:val="24"/>
              </w:rPr>
              <w:t>1个月</w:t>
            </w:r>
          </w:p>
        </w:tc>
        <w:tc>
          <w:tcPr>
            <w:tcW w:w="2681" w:type="dxa"/>
            <w:tcBorders>
              <w:top w:val="single" w:sz="4" w:space="0" w:color="auto"/>
              <w:left w:val="single" w:sz="4" w:space="0" w:color="auto"/>
              <w:bottom w:val="single" w:sz="4" w:space="0" w:color="auto"/>
              <w:right w:val="single" w:sz="4" w:space="0" w:color="auto"/>
            </w:tcBorders>
            <w:vAlign w:val="center"/>
          </w:tcPr>
          <w:p w14:paraId="788109D6" w14:textId="77777777" w:rsidR="006F0590" w:rsidRDefault="000D0DA9">
            <w:pPr>
              <w:jc w:val="center"/>
              <w:rPr>
                <w:rFonts w:ascii="宋体" w:hAnsi="宋体"/>
                <w:sz w:val="24"/>
              </w:rPr>
            </w:pPr>
            <w:r>
              <w:rPr>
                <w:rFonts w:ascii="宋体" w:hAnsi="宋体" w:hint="eastAsia"/>
                <w:sz w:val="24"/>
              </w:rPr>
              <w:t>不长于</w:t>
            </w:r>
            <w:r>
              <w:rPr>
                <w:rFonts w:ascii="宋体" w:hAnsi="宋体"/>
                <w:sz w:val="24"/>
              </w:rPr>
              <w:t>1个月</w:t>
            </w:r>
          </w:p>
        </w:tc>
        <w:tc>
          <w:tcPr>
            <w:tcW w:w="1431" w:type="dxa"/>
            <w:tcBorders>
              <w:top w:val="single" w:sz="4" w:space="0" w:color="auto"/>
              <w:left w:val="single" w:sz="4" w:space="0" w:color="auto"/>
              <w:bottom w:val="single" w:sz="4" w:space="0" w:color="auto"/>
              <w:right w:val="single" w:sz="4" w:space="0" w:color="auto"/>
            </w:tcBorders>
            <w:vAlign w:val="center"/>
          </w:tcPr>
          <w:p w14:paraId="09635380" w14:textId="77777777" w:rsidR="006F0590" w:rsidRDefault="000D0DA9">
            <w:pPr>
              <w:jc w:val="center"/>
              <w:rPr>
                <w:rFonts w:ascii="宋体" w:hAnsi="宋体"/>
                <w:sz w:val="24"/>
              </w:rPr>
            </w:pPr>
            <w:r>
              <w:rPr>
                <w:rFonts w:ascii="宋体" w:hAnsi="宋体"/>
                <w:sz w:val="24"/>
              </w:rPr>
              <w:t>0.00％</w:t>
            </w:r>
          </w:p>
        </w:tc>
        <w:tc>
          <w:tcPr>
            <w:tcW w:w="2111" w:type="dxa"/>
            <w:tcBorders>
              <w:top w:val="single" w:sz="4" w:space="0" w:color="auto"/>
              <w:left w:val="single" w:sz="4" w:space="0" w:color="auto"/>
              <w:bottom w:val="single" w:sz="4" w:space="0" w:color="auto"/>
              <w:right w:val="single" w:sz="4" w:space="0" w:color="auto"/>
            </w:tcBorders>
            <w:vAlign w:val="center"/>
          </w:tcPr>
          <w:p w14:paraId="4287199C" w14:textId="77777777" w:rsidR="006F0590" w:rsidRDefault="000D0DA9">
            <w:pPr>
              <w:jc w:val="center"/>
              <w:rPr>
                <w:rFonts w:ascii="宋体" w:hAnsi="宋体"/>
                <w:sz w:val="24"/>
              </w:rPr>
            </w:pPr>
            <w:r>
              <w:rPr>
                <w:rFonts w:ascii="宋体" w:hAnsi="宋体"/>
                <w:sz w:val="24"/>
              </w:rPr>
              <w:t>1.00</w:t>
            </w:r>
          </w:p>
        </w:tc>
      </w:tr>
      <w:tr w:rsidR="006F0590" w14:paraId="5CBB7EBB"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910FEE3" w14:textId="77777777" w:rsidR="006F0590" w:rsidRDefault="000D0DA9">
            <w:pPr>
              <w:jc w:val="center"/>
              <w:rPr>
                <w:rFonts w:ascii="宋体" w:hAnsi="宋体"/>
                <w:sz w:val="24"/>
              </w:rPr>
            </w:pPr>
            <w:r>
              <w:rPr>
                <w:rFonts w:ascii="宋体" w:hAnsi="宋体"/>
                <w:sz w:val="24"/>
              </w:rPr>
              <w:t>1至3个月</w:t>
            </w:r>
          </w:p>
        </w:tc>
        <w:tc>
          <w:tcPr>
            <w:tcW w:w="2681" w:type="dxa"/>
            <w:tcBorders>
              <w:top w:val="single" w:sz="4" w:space="0" w:color="auto"/>
              <w:left w:val="single" w:sz="4" w:space="0" w:color="auto"/>
              <w:bottom w:val="single" w:sz="4" w:space="0" w:color="auto"/>
              <w:right w:val="single" w:sz="4" w:space="0" w:color="auto"/>
            </w:tcBorders>
            <w:vAlign w:val="center"/>
          </w:tcPr>
          <w:p w14:paraId="1C0F4580" w14:textId="77777777" w:rsidR="006F0590" w:rsidRDefault="000D0DA9">
            <w:pPr>
              <w:jc w:val="center"/>
              <w:rPr>
                <w:rFonts w:ascii="宋体" w:hAnsi="宋体"/>
                <w:sz w:val="24"/>
              </w:rPr>
            </w:pPr>
            <w:r>
              <w:rPr>
                <w:rFonts w:ascii="宋体" w:hAnsi="宋体"/>
                <w:sz w:val="24"/>
              </w:rPr>
              <w:t>1至3个月</w:t>
            </w:r>
          </w:p>
        </w:tc>
        <w:tc>
          <w:tcPr>
            <w:tcW w:w="1431" w:type="dxa"/>
            <w:tcBorders>
              <w:top w:val="single" w:sz="4" w:space="0" w:color="auto"/>
              <w:left w:val="single" w:sz="4" w:space="0" w:color="auto"/>
              <w:bottom w:val="single" w:sz="4" w:space="0" w:color="auto"/>
              <w:right w:val="single" w:sz="4" w:space="0" w:color="auto"/>
            </w:tcBorders>
            <w:vAlign w:val="center"/>
          </w:tcPr>
          <w:p w14:paraId="10E9FCDF" w14:textId="77777777" w:rsidR="006F0590" w:rsidRDefault="000D0DA9">
            <w:pPr>
              <w:jc w:val="center"/>
              <w:rPr>
                <w:rFonts w:ascii="宋体" w:hAnsi="宋体"/>
                <w:sz w:val="24"/>
              </w:rPr>
            </w:pPr>
            <w:r>
              <w:rPr>
                <w:rFonts w:ascii="宋体" w:hAnsi="宋体"/>
                <w:sz w:val="24"/>
              </w:rPr>
              <w:t>0.20％</w:t>
            </w:r>
          </w:p>
        </w:tc>
        <w:tc>
          <w:tcPr>
            <w:tcW w:w="2111" w:type="dxa"/>
            <w:tcBorders>
              <w:top w:val="single" w:sz="4" w:space="0" w:color="auto"/>
              <w:left w:val="single" w:sz="4" w:space="0" w:color="auto"/>
              <w:bottom w:val="single" w:sz="4" w:space="0" w:color="auto"/>
              <w:right w:val="single" w:sz="4" w:space="0" w:color="auto"/>
            </w:tcBorders>
            <w:vAlign w:val="center"/>
          </w:tcPr>
          <w:p w14:paraId="7B96A16B" w14:textId="77777777" w:rsidR="006F0590" w:rsidRDefault="000D0DA9">
            <w:pPr>
              <w:jc w:val="center"/>
              <w:rPr>
                <w:rFonts w:ascii="宋体" w:hAnsi="宋体"/>
                <w:sz w:val="24"/>
              </w:rPr>
            </w:pPr>
            <w:r>
              <w:rPr>
                <w:rFonts w:ascii="宋体" w:hAnsi="宋体"/>
                <w:sz w:val="24"/>
              </w:rPr>
              <w:t>1.00</w:t>
            </w:r>
          </w:p>
        </w:tc>
      </w:tr>
      <w:tr w:rsidR="006F0590" w14:paraId="30D24322"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FF9A553" w14:textId="77777777" w:rsidR="006F0590" w:rsidRDefault="000D0DA9">
            <w:pPr>
              <w:jc w:val="center"/>
              <w:rPr>
                <w:rFonts w:ascii="宋体" w:hAnsi="宋体"/>
                <w:sz w:val="24"/>
              </w:rPr>
            </w:pPr>
            <w:r>
              <w:rPr>
                <w:rFonts w:ascii="宋体" w:hAnsi="宋体"/>
                <w:sz w:val="24"/>
              </w:rPr>
              <w:t>3至6个月</w:t>
            </w:r>
          </w:p>
        </w:tc>
        <w:tc>
          <w:tcPr>
            <w:tcW w:w="2681" w:type="dxa"/>
            <w:tcBorders>
              <w:top w:val="single" w:sz="4" w:space="0" w:color="auto"/>
              <w:left w:val="single" w:sz="4" w:space="0" w:color="auto"/>
              <w:bottom w:val="single" w:sz="4" w:space="0" w:color="auto"/>
              <w:right w:val="single" w:sz="4" w:space="0" w:color="auto"/>
            </w:tcBorders>
            <w:vAlign w:val="center"/>
          </w:tcPr>
          <w:p w14:paraId="47482F61" w14:textId="77777777" w:rsidR="006F0590" w:rsidRDefault="000D0DA9">
            <w:pPr>
              <w:jc w:val="center"/>
              <w:rPr>
                <w:rFonts w:ascii="宋体" w:hAnsi="宋体"/>
                <w:sz w:val="24"/>
              </w:rPr>
            </w:pPr>
            <w:r>
              <w:rPr>
                <w:rFonts w:ascii="宋体" w:hAnsi="宋体"/>
                <w:sz w:val="24"/>
              </w:rPr>
              <w:t>3至6个月</w:t>
            </w:r>
          </w:p>
        </w:tc>
        <w:tc>
          <w:tcPr>
            <w:tcW w:w="1431" w:type="dxa"/>
            <w:tcBorders>
              <w:top w:val="single" w:sz="4" w:space="0" w:color="auto"/>
              <w:left w:val="single" w:sz="4" w:space="0" w:color="auto"/>
              <w:bottom w:val="single" w:sz="4" w:space="0" w:color="auto"/>
              <w:right w:val="single" w:sz="4" w:space="0" w:color="auto"/>
            </w:tcBorders>
            <w:vAlign w:val="center"/>
          </w:tcPr>
          <w:p w14:paraId="374E67FE" w14:textId="77777777" w:rsidR="006F0590" w:rsidRDefault="000D0DA9">
            <w:pPr>
              <w:jc w:val="center"/>
              <w:rPr>
                <w:rFonts w:ascii="宋体" w:hAnsi="宋体"/>
                <w:sz w:val="24"/>
              </w:rPr>
            </w:pPr>
            <w:r>
              <w:rPr>
                <w:rFonts w:ascii="宋体" w:hAnsi="宋体"/>
                <w:sz w:val="24"/>
              </w:rPr>
              <w:t>0.40％</w:t>
            </w:r>
          </w:p>
        </w:tc>
        <w:tc>
          <w:tcPr>
            <w:tcW w:w="2111" w:type="dxa"/>
            <w:tcBorders>
              <w:top w:val="single" w:sz="4" w:space="0" w:color="auto"/>
              <w:left w:val="single" w:sz="4" w:space="0" w:color="auto"/>
              <w:bottom w:val="single" w:sz="4" w:space="0" w:color="auto"/>
              <w:right w:val="single" w:sz="4" w:space="0" w:color="auto"/>
            </w:tcBorders>
            <w:vAlign w:val="center"/>
          </w:tcPr>
          <w:p w14:paraId="55F84740" w14:textId="77777777" w:rsidR="006F0590" w:rsidRDefault="000D0DA9">
            <w:pPr>
              <w:jc w:val="center"/>
              <w:rPr>
                <w:rFonts w:ascii="宋体" w:hAnsi="宋体"/>
                <w:sz w:val="24"/>
              </w:rPr>
            </w:pPr>
            <w:r>
              <w:rPr>
                <w:rFonts w:ascii="宋体" w:hAnsi="宋体"/>
                <w:sz w:val="24"/>
              </w:rPr>
              <w:t>1.00</w:t>
            </w:r>
          </w:p>
        </w:tc>
      </w:tr>
      <w:tr w:rsidR="006F0590" w14:paraId="384D0B81"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D6643E0" w14:textId="77777777" w:rsidR="006F0590" w:rsidRDefault="000D0DA9">
            <w:pPr>
              <w:jc w:val="center"/>
              <w:rPr>
                <w:rFonts w:ascii="宋体" w:hAnsi="宋体"/>
                <w:sz w:val="24"/>
              </w:rPr>
            </w:pPr>
            <w:r>
              <w:rPr>
                <w:rFonts w:ascii="宋体" w:hAnsi="宋体"/>
                <w:sz w:val="24"/>
              </w:rPr>
              <w:t>6至12个月</w:t>
            </w:r>
          </w:p>
        </w:tc>
        <w:tc>
          <w:tcPr>
            <w:tcW w:w="2681" w:type="dxa"/>
            <w:tcBorders>
              <w:top w:val="single" w:sz="4" w:space="0" w:color="auto"/>
              <w:left w:val="single" w:sz="4" w:space="0" w:color="auto"/>
              <w:bottom w:val="single" w:sz="4" w:space="0" w:color="auto"/>
              <w:right w:val="single" w:sz="4" w:space="0" w:color="auto"/>
            </w:tcBorders>
            <w:vAlign w:val="center"/>
          </w:tcPr>
          <w:p w14:paraId="274697A8" w14:textId="77777777" w:rsidR="006F0590" w:rsidRDefault="000D0DA9">
            <w:pPr>
              <w:jc w:val="center"/>
              <w:rPr>
                <w:rFonts w:ascii="宋体" w:hAnsi="宋体"/>
                <w:sz w:val="24"/>
              </w:rPr>
            </w:pPr>
            <w:r>
              <w:rPr>
                <w:rFonts w:ascii="宋体" w:hAnsi="宋体"/>
                <w:sz w:val="24"/>
              </w:rPr>
              <w:t>6至12个月</w:t>
            </w:r>
          </w:p>
        </w:tc>
        <w:tc>
          <w:tcPr>
            <w:tcW w:w="1431" w:type="dxa"/>
            <w:tcBorders>
              <w:top w:val="single" w:sz="4" w:space="0" w:color="auto"/>
              <w:left w:val="single" w:sz="4" w:space="0" w:color="auto"/>
              <w:bottom w:val="single" w:sz="4" w:space="0" w:color="auto"/>
              <w:right w:val="single" w:sz="4" w:space="0" w:color="auto"/>
            </w:tcBorders>
            <w:vAlign w:val="center"/>
          </w:tcPr>
          <w:p w14:paraId="5A34D31C" w14:textId="77777777" w:rsidR="006F0590" w:rsidRDefault="000D0DA9">
            <w:pPr>
              <w:jc w:val="center"/>
              <w:rPr>
                <w:rFonts w:ascii="宋体" w:hAnsi="宋体"/>
                <w:sz w:val="24"/>
              </w:rPr>
            </w:pPr>
            <w:r>
              <w:rPr>
                <w:rFonts w:ascii="宋体" w:hAnsi="宋体"/>
                <w:sz w:val="24"/>
              </w:rPr>
              <w:t>0.70％</w:t>
            </w:r>
          </w:p>
        </w:tc>
        <w:tc>
          <w:tcPr>
            <w:tcW w:w="2111" w:type="dxa"/>
            <w:tcBorders>
              <w:top w:val="single" w:sz="4" w:space="0" w:color="auto"/>
              <w:left w:val="single" w:sz="4" w:space="0" w:color="auto"/>
              <w:bottom w:val="single" w:sz="4" w:space="0" w:color="auto"/>
              <w:right w:val="single" w:sz="4" w:space="0" w:color="auto"/>
            </w:tcBorders>
            <w:vAlign w:val="center"/>
          </w:tcPr>
          <w:p w14:paraId="3793B329" w14:textId="77777777" w:rsidR="006F0590" w:rsidRDefault="000D0DA9">
            <w:pPr>
              <w:jc w:val="center"/>
              <w:rPr>
                <w:rFonts w:ascii="宋体" w:hAnsi="宋体"/>
                <w:sz w:val="24"/>
              </w:rPr>
            </w:pPr>
            <w:r>
              <w:rPr>
                <w:rFonts w:ascii="宋体" w:hAnsi="宋体"/>
                <w:sz w:val="24"/>
              </w:rPr>
              <w:t>1.00</w:t>
            </w:r>
          </w:p>
        </w:tc>
      </w:tr>
      <w:tr w:rsidR="006F0590" w14:paraId="51F747A1"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EBF2502" w14:textId="77777777" w:rsidR="006F0590" w:rsidRDefault="000D0DA9">
            <w:pPr>
              <w:jc w:val="center"/>
              <w:rPr>
                <w:rFonts w:ascii="宋体" w:hAnsi="宋体"/>
                <w:sz w:val="24"/>
              </w:rPr>
            </w:pPr>
            <w:r>
              <w:rPr>
                <w:rFonts w:ascii="宋体" w:hAnsi="宋体"/>
                <w:sz w:val="24"/>
              </w:rPr>
              <w:t>1至2年</w:t>
            </w:r>
          </w:p>
        </w:tc>
        <w:tc>
          <w:tcPr>
            <w:tcW w:w="2681" w:type="dxa"/>
            <w:tcBorders>
              <w:top w:val="single" w:sz="4" w:space="0" w:color="auto"/>
              <w:left w:val="single" w:sz="4" w:space="0" w:color="auto"/>
              <w:bottom w:val="single" w:sz="4" w:space="0" w:color="auto"/>
              <w:right w:val="single" w:sz="4" w:space="0" w:color="auto"/>
            </w:tcBorders>
            <w:vAlign w:val="center"/>
          </w:tcPr>
          <w:p w14:paraId="05FBB311" w14:textId="77777777" w:rsidR="006F0590" w:rsidRDefault="000D0DA9">
            <w:pPr>
              <w:jc w:val="center"/>
              <w:rPr>
                <w:rFonts w:ascii="宋体" w:hAnsi="宋体"/>
                <w:sz w:val="24"/>
              </w:rPr>
            </w:pPr>
            <w:r>
              <w:rPr>
                <w:rFonts w:ascii="宋体" w:hAnsi="宋体"/>
                <w:sz w:val="24"/>
              </w:rPr>
              <w:t>1.0至1.9年</w:t>
            </w:r>
          </w:p>
        </w:tc>
        <w:tc>
          <w:tcPr>
            <w:tcW w:w="1431" w:type="dxa"/>
            <w:tcBorders>
              <w:top w:val="single" w:sz="4" w:space="0" w:color="auto"/>
              <w:left w:val="single" w:sz="4" w:space="0" w:color="auto"/>
              <w:bottom w:val="single" w:sz="4" w:space="0" w:color="auto"/>
              <w:right w:val="single" w:sz="4" w:space="0" w:color="auto"/>
            </w:tcBorders>
            <w:vAlign w:val="center"/>
          </w:tcPr>
          <w:p w14:paraId="24115809" w14:textId="77777777" w:rsidR="006F0590" w:rsidRDefault="000D0DA9">
            <w:pPr>
              <w:jc w:val="center"/>
              <w:rPr>
                <w:rFonts w:ascii="宋体" w:hAnsi="宋体"/>
                <w:sz w:val="24"/>
              </w:rPr>
            </w:pPr>
            <w:r>
              <w:rPr>
                <w:rFonts w:ascii="宋体" w:hAnsi="宋体"/>
                <w:sz w:val="24"/>
              </w:rPr>
              <w:t>1.25％</w:t>
            </w:r>
          </w:p>
        </w:tc>
        <w:tc>
          <w:tcPr>
            <w:tcW w:w="2111" w:type="dxa"/>
            <w:tcBorders>
              <w:top w:val="single" w:sz="4" w:space="0" w:color="auto"/>
              <w:left w:val="single" w:sz="4" w:space="0" w:color="auto"/>
              <w:bottom w:val="single" w:sz="4" w:space="0" w:color="auto"/>
              <w:right w:val="single" w:sz="4" w:space="0" w:color="auto"/>
            </w:tcBorders>
            <w:vAlign w:val="center"/>
          </w:tcPr>
          <w:p w14:paraId="486B2856" w14:textId="77777777" w:rsidR="006F0590" w:rsidRDefault="000D0DA9">
            <w:pPr>
              <w:jc w:val="center"/>
              <w:rPr>
                <w:rFonts w:ascii="宋体" w:hAnsi="宋体"/>
                <w:sz w:val="24"/>
              </w:rPr>
            </w:pPr>
            <w:r>
              <w:rPr>
                <w:rFonts w:ascii="宋体" w:hAnsi="宋体"/>
                <w:sz w:val="24"/>
              </w:rPr>
              <w:t>0.90</w:t>
            </w:r>
          </w:p>
        </w:tc>
      </w:tr>
      <w:tr w:rsidR="006F0590" w14:paraId="3CDD3857"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683C3E8" w14:textId="77777777" w:rsidR="006F0590" w:rsidRDefault="000D0DA9">
            <w:pPr>
              <w:jc w:val="center"/>
              <w:rPr>
                <w:rFonts w:ascii="宋体" w:hAnsi="宋体"/>
                <w:sz w:val="24"/>
              </w:rPr>
            </w:pPr>
            <w:r>
              <w:rPr>
                <w:rFonts w:ascii="宋体" w:hAnsi="宋体"/>
                <w:sz w:val="24"/>
              </w:rPr>
              <w:t>2至3年</w:t>
            </w:r>
          </w:p>
        </w:tc>
        <w:tc>
          <w:tcPr>
            <w:tcW w:w="2681" w:type="dxa"/>
            <w:tcBorders>
              <w:top w:val="single" w:sz="4" w:space="0" w:color="auto"/>
              <w:left w:val="single" w:sz="4" w:space="0" w:color="auto"/>
              <w:bottom w:val="single" w:sz="4" w:space="0" w:color="auto"/>
              <w:right w:val="single" w:sz="4" w:space="0" w:color="auto"/>
            </w:tcBorders>
            <w:vAlign w:val="center"/>
          </w:tcPr>
          <w:p w14:paraId="57FF5BA5" w14:textId="77777777" w:rsidR="006F0590" w:rsidRDefault="000D0DA9">
            <w:pPr>
              <w:jc w:val="center"/>
              <w:rPr>
                <w:rFonts w:ascii="宋体" w:hAnsi="宋体"/>
                <w:sz w:val="24"/>
              </w:rPr>
            </w:pPr>
            <w:r>
              <w:rPr>
                <w:rFonts w:ascii="宋体" w:hAnsi="宋体"/>
                <w:sz w:val="24"/>
              </w:rPr>
              <w:t>1.9至2.8年</w:t>
            </w:r>
          </w:p>
        </w:tc>
        <w:tc>
          <w:tcPr>
            <w:tcW w:w="1431" w:type="dxa"/>
            <w:tcBorders>
              <w:top w:val="single" w:sz="4" w:space="0" w:color="auto"/>
              <w:left w:val="single" w:sz="4" w:space="0" w:color="auto"/>
              <w:bottom w:val="single" w:sz="4" w:space="0" w:color="auto"/>
              <w:right w:val="single" w:sz="4" w:space="0" w:color="auto"/>
            </w:tcBorders>
            <w:vAlign w:val="center"/>
          </w:tcPr>
          <w:p w14:paraId="7A6BA3E7" w14:textId="77777777" w:rsidR="006F0590" w:rsidRDefault="000D0DA9">
            <w:pPr>
              <w:jc w:val="center"/>
              <w:rPr>
                <w:rFonts w:ascii="宋体" w:hAnsi="宋体"/>
                <w:sz w:val="24"/>
              </w:rPr>
            </w:pPr>
            <w:r>
              <w:rPr>
                <w:rFonts w:ascii="宋体" w:hAnsi="宋体"/>
                <w:sz w:val="24"/>
              </w:rPr>
              <w:t>1.75％</w:t>
            </w:r>
          </w:p>
        </w:tc>
        <w:tc>
          <w:tcPr>
            <w:tcW w:w="2111" w:type="dxa"/>
            <w:tcBorders>
              <w:top w:val="single" w:sz="4" w:space="0" w:color="auto"/>
              <w:left w:val="single" w:sz="4" w:space="0" w:color="auto"/>
              <w:bottom w:val="single" w:sz="4" w:space="0" w:color="auto"/>
              <w:right w:val="single" w:sz="4" w:space="0" w:color="auto"/>
            </w:tcBorders>
            <w:vAlign w:val="center"/>
          </w:tcPr>
          <w:p w14:paraId="0E7BC264" w14:textId="77777777" w:rsidR="006F0590" w:rsidRDefault="000D0DA9">
            <w:pPr>
              <w:jc w:val="center"/>
              <w:rPr>
                <w:rFonts w:ascii="宋体" w:hAnsi="宋体"/>
                <w:sz w:val="24"/>
              </w:rPr>
            </w:pPr>
            <w:r>
              <w:rPr>
                <w:rFonts w:ascii="宋体" w:hAnsi="宋体"/>
                <w:sz w:val="24"/>
              </w:rPr>
              <w:t>0.80</w:t>
            </w:r>
          </w:p>
        </w:tc>
      </w:tr>
      <w:tr w:rsidR="006F0590" w14:paraId="3651A4A4"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DC73C6C" w14:textId="77777777" w:rsidR="006F0590" w:rsidRDefault="000D0DA9">
            <w:pPr>
              <w:jc w:val="center"/>
              <w:rPr>
                <w:rFonts w:ascii="宋体" w:hAnsi="宋体"/>
                <w:sz w:val="24"/>
              </w:rPr>
            </w:pPr>
            <w:r>
              <w:rPr>
                <w:rFonts w:ascii="宋体" w:hAnsi="宋体"/>
                <w:sz w:val="24"/>
              </w:rPr>
              <w:t>3至4年</w:t>
            </w:r>
          </w:p>
        </w:tc>
        <w:tc>
          <w:tcPr>
            <w:tcW w:w="2681" w:type="dxa"/>
            <w:tcBorders>
              <w:top w:val="single" w:sz="4" w:space="0" w:color="auto"/>
              <w:left w:val="single" w:sz="4" w:space="0" w:color="auto"/>
              <w:bottom w:val="single" w:sz="4" w:space="0" w:color="auto"/>
              <w:right w:val="single" w:sz="4" w:space="0" w:color="auto"/>
            </w:tcBorders>
            <w:vAlign w:val="center"/>
          </w:tcPr>
          <w:p w14:paraId="2F65B468" w14:textId="77777777" w:rsidR="006F0590" w:rsidRDefault="000D0DA9">
            <w:pPr>
              <w:jc w:val="center"/>
              <w:rPr>
                <w:rFonts w:ascii="宋体" w:hAnsi="宋体"/>
                <w:sz w:val="24"/>
              </w:rPr>
            </w:pPr>
            <w:r>
              <w:rPr>
                <w:rFonts w:ascii="宋体" w:hAnsi="宋体"/>
                <w:sz w:val="24"/>
              </w:rPr>
              <w:t>2.8至3.6年</w:t>
            </w:r>
          </w:p>
        </w:tc>
        <w:tc>
          <w:tcPr>
            <w:tcW w:w="1431" w:type="dxa"/>
            <w:tcBorders>
              <w:top w:val="single" w:sz="4" w:space="0" w:color="auto"/>
              <w:left w:val="single" w:sz="4" w:space="0" w:color="auto"/>
              <w:bottom w:val="single" w:sz="4" w:space="0" w:color="auto"/>
              <w:right w:val="single" w:sz="4" w:space="0" w:color="auto"/>
            </w:tcBorders>
            <w:vAlign w:val="center"/>
          </w:tcPr>
          <w:p w14:paraId="6BC6C3F5" w14:textId="77777777" w:rsidR="006F0590" w:rsidRDefault="000D0DA9">
            <w:pPr>
              <w:jc w:val="center"/>
              <w:rPr>
                <w:rFonts w:ascii="宋体" w:hAnsi="宋体"/>
                <w:sz w:val="24"/>
              </w:rPr>
            </w:pPr>
            <w:r>
              <w:rPr>
                <w:rFonts w:ascii="宋体" w:hAnsi="宋体"/>
                <w:sz w:val="24"/>
              </w:rPr>
              <w:t>2.25％</w:t>
            </w:r>
          </w:p>
        </w:tc>
        <w:tc>
          <w:tcPr>
            <w:tcW w:w="2111" w:type="dxa"/>
            <w:tcBorders>
              <w:top w:val="single" w:sz="4" w:space="0" w:color="auto"/>
              <w:left w:val="single" w:sz="4" w:space="0" w:color="auto"/>
              <w:bottom w:val="single" w:sz="4" w:space="0" w:color="auto"/>
              <w:right w:val="single" w:sz="4" w:space="0" w:color="auto"/>
            </w:tcBorders>
            <w:vAlign w:val="center"/>
          </w:tcPr>
          <w:p w14:paraId="43588776" w14:textId="77777777" w:rsidR="006F0590" w:rsidRDefault="000D0DA9">
            <w:pPr>
              <w:jc w:val="center"/>
              <w:rPr>
                <w:rFonts w:ascii="宋体" w:hAnsi="宋体"/>
                <w:sz w:val="24"/>
              </w:rPr>
            </w:pPr>
            <w:r>
              <w:rPr>
                <w:rFonts w:ascii="宋体" w:hAnsi="宋体"/>
                <w:sz w:val="24"/>
              </w:rPr>
              <w:t>0.75</w:t>
            </w:r>
          </w:p>
        </w:tc>
      </w:tr>
      <w:tr w:rsidR="006F0590" w14:paraId="41EE1A51"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525FB32" w14:textId="77777777" w:rsidR="006F0590" w:rsidRDefault="000D0DA9">
            <w:pPr>
              <w:jc w:val="center"/>
              <w:rPr>
                <w:rFonts w:ascii="宋体" w:hAnsi="宋体"/>
                <w:sz w:val="24"/>
              </w:rPr>
            </w:pPr>
            <w:r>
              <w:rPr>
                <w:rFonts w:ascii="宋体" w:hAnsi="宋体"/>
                <w:sz w:val="24"/>
              </w:rPr>
              <w:t>4至5年</w:t>
            </w:r>
          </w:p>
        </w:tc>
        <w:tc>
          <w:tcPr>
            <w:tcW w:w="2681" w:type="dxa"/>
            <w:tcBorders>
              <w:top w:val="single" w:sz="4" w:space="0" w:color="auto"/>
              <w:left w:val="single" w:sz="4" w:space="0" w:color="auto"/>
              <w:bottom w:val="single" w:sz="4" w:space="0" w:color="auto"/>
              <w:right w:val="single" w:sz="4" w:space="0" w:color="auto"/>
            </w:tcBorders>
            <w:vAlign w:val="center"/>
          </w:tcPr>
          <w:p w14:paraId="4D22A247" w14:textId="77777777" w:rsidR="006F0590" w:rsidRDefault="000D0DA9">
            <w:pPr>
              <w:jc w:val="center"/>
              <w:rPr>
                <w:rFonts w:ascii="宋体" w:hAnsi="宋体"/>
                <w:sz w:val="24"/>
              </w:rPr>
            </w:pPr>
            <w:r>
              <w:rPr>
                <w:rFonts w:ascii="宋体" w:hAnsi="宋体"/>
                <w:sz w:val="24"/>
              </w:rPr>
              <w:t>3.6至4.3年</w:t>
            </w:r>
          </w:p>
        </w:tc>
        <w:tc>
          <w:tcPr>
            <w:tcW w:w="1431" w:type="dxa"/>
            <w:tcBorders>
              <w:top w:val="single" w:sz="4" w:space="0" w:color="auto"/>
              <w:left w:val="single" w:sz="4" w:space="0" w:color="auto"/>
              <w:bottom w:val="single" w:sz="4" w:space="0" w:color="auto"/>
              <w:right w:val="single" w:sz="4" w:space="0" w:color="auto"/>
            </w:tcBorders>
            <w:vAlign w:val="center"/>
          </w:tcPr>
          <w:p w14:paraId="44B85409" w14:textId="77777777" w:rsidR="006F0590" w:rsidRDefault="000D0DA9">
            <w:pPr>
              <w:jc w:val="center"/>
              <w:rPr>
                <w:rFonts w:ascii="宋体" w:hAnsi="宋体"/>
                <w:sz w:val="24"/>
              </w:rPr>
            </w:pPr>
            <w:r>
              <w:rPr>
                <w:rFonts w:ascii="宋体" w:hAnsi="宋体"/>
                <w:sz w:val="24"/>
              </w:rPr>
              <w:t>2.75％</w:t>
            </w:r>
          </w:p>
        </w:tc>
        <w:tc>
          <w:tcPr>
            <w:tcW w:w="2111" w:type="dxa"/>
            <w:tcBorders>
              <w:top w:val="single" w:sz="4" w:space="0" w:color="auto"/>
              <w:left w:val="single" w:sz="4" w:space="0" w:color="auto"/>
              <w:bottom w:val="single" w:sz="4" w:space="0" w:color="auto"/>
              <w:right w:val="single" w:sz="4" w:space="0" w:color="auto"/>
            </w:tcBorders>
            <w:vAlign w:val="center"/>
          </w:tcPr>
          <w:p w14:paraId="6E7CB9BB" w14:textId="77777777" w:rsidR="006F0590" w:rsidRDefault="000D0DA9">
            <w:pPr>
              <w:jc w:val="center"/>
              <w:rPr>
                <w:rFonts w:ascii="宋体" w:hAnsi="宋体"/>
                <w:sz w:val="24"/>
              </w:rPr>
            </w:pPr>
            <w:r>
              <w:rPr>
                <w:rFonts w:ascii="宋体" w:hAnsi="宋体"/>
                <w:sz w:val="24"/>
              </w:rPr>
              <w:t>0.75</w:t>
            </w:r>
          </w:p>
        </w:tc>
      </w:tr>
      <w:tr w:rsidR="006F0590" w14:paraId="16CAC6C2"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674781B" w14:textId="77777777" w:rsidR="006F0590" w:rsidRDefault="000D0DA9">
            <w:pPr>
              <w:jc w:val="center"/>
              <w:rPr>
                <w:rFonts w:ascii="宋体" w:hAnsi="宋体"/>
                <w:sz w:val="24"/>
              </w:rPr>
            </w:pPr>
            <w:r>
              <w:rPr>
                <w:rFonts w:ascii="宋体" w:hAnsi="宋体"/>
                <w:sz w:val="24"/>
              </w:rPr>
              <w:t>5至7年</w:t>
            </w:r>
          </w:p>
        </w:tc>
        <w:tc>
          <w:tcPr>
            <w:tcW w:w="2681" w:type="dxa"/>
            <w:tcBorders>
              <w:top w:val="single" w:sz="4" w:space="0" w:color="auto"/>
              <w:left w:val="single" w:sz="4" w:space="0" w:color="auto"/>
              <w:bottom w:val="single" w:sz="4" w:space="0" w:color="auto"/>
              <w:right w:val="single" w:sz="4" w:space="0" w:color="auto"/>
            </w:tcBorders>
            <w:vAlign w:val="center"/>
          </w:tcPr>
          <w:p w14:paraId="1D30861E" w14:textId="77777777" w:rsidR="006F0590" w:rsidRDefault="000D0DA9">
            <w:pPr>
              <w:jc w:val="center"/>
              <w:rPr>
                <w:rFonts w:ascii="宋体" w:hAnsi="宋体"/>
                <w:sz w:val="24"/>
              </w:rPr>
            </w:pPr>
            <w:r>
              <w:rPr>
                <w:rFonts w:ascii="宋体" w:hAnsi="宋体"/>
                <w:sz w:val="24"/>
              </w:rPr>
              <w:t>4.3至5.7年</w:t>
            </w:r>
          </w:p>
        </w:tc>
        <w:tc>
          <w:tcPr>
            <w:tcW w:w="1431" w:type="dxa"/>
            <w:tcBorders>
              <w:top w:val="single" w:sz="4" w:space="0" w:color="auto"/>
              <w:left w:val="single" w:sz="4" w:space="0" w:color="auto"/>
              <w:bottom w:val="single" w:sz="4" w:space="0" w:color="auto"/>
              <w:right w:val="single" w:sz="4" w:space="0" w:color="auto"/>
            </w:tcBorders>
            <w:vAlign w:val="center"/>
          </w:tcPr>
          <w:p w14:paraId="6995EC5C" w14:textId="77777777" w:rsidR="006F0590" w:rsidRDefault="000D0DA9">
            <w:pPr>
              <w:jc w:val="center"/>
              <w:rPr>
                <w:rFonts w:ascii="宋体" w:hAnsi="宋体"/>
                <w:sz w:val="24"/>
              </w:rPr>
            </w:pPr>
            <w:r>
              <w:rPr>
                <w:rFonts w:ascii="宋体" w:hAnsi="宋体"/>
                <w:sz w:val="24"/>
              </w:rPr>
              <w:t>3.25％</w:t>
            </w:r>
          </w:p>
        </w:tc>
        <w:tc>
          <w:tcPr>
            <w:tcW w:w="2111" w:type="dxa"/>
            <w:tcBorders>
              <w:top w:val="single" w:sz="4" w:space="0" w:color="auto"/>
              <w:left w:val="single" w:sz="4" w:space="0" w:color="auto"/>
              <w:bottom w:val="single" w:sz="4" w:space="0" w:color="auto"/>
              <w:right w:val="single" w:sz="4" w:space="0" w:color="auto"/>
            </w:tcBorders>
            <w:vAlign w:val="center"/>
          </w:tcPr>
          <w:p w14:paraId="37997FDB" w14:textId="77777777" w:rsidR="006F0590" w:rsidRDefault="000D0DA9">
            <w:pPr>
              <w:jc w:val="center"/>
              <w:rPr>
                <w:rFonts w:ascii="宋体" w:hAnsi="宋体"/>
                <w:sz w:val="24"/>
              </w:rPr>
            </w:pPr>
            <w:r>
              <w:rPr>
                <w:rFonts w:ascii="宋体" w:hAnsi="宋体"/>
                <w:sz w:val="24"/>
              </w:rPr>
              <w:t>0.70</w:t>
            </w:r>
          </w:p>
        </w:tc>
      </w:tr>
      <w:tr w:rsidR="006F0590" w14:paraId="2B8BBE55"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C37BDEA" w14:textId="77777777" w:rsidR="006F0590" w:rsidRDefault="000D0DA9">
            <w:pPr>
              <w:jc w:val="center"/>
              <w:rPr>
                <w:rFonts w:ascii="宋体" w:hAnsi="宋体"/>
                <w:sz w:val="24"/>
              </w:rPr>
            </w:pPr>
            <w:r>
              <w:rPr>
                <w:rFonts w:ascii="宋体" w:hAnsi="宋体"/>
                <w:sz w:val="24"/>
              </w:rPr>
              <w:t>7至10年</w:t>
            </w:r>
          </w:p>
        </w:tc>
        <w:tc>
          <w:tcPr>
            <w:tcW w:w="2681" w:type="dxa"/>
            <w:tcBorders>
              <w:top w:val="single" w:sz="4" w:space="0" w:color="auto"/>
              <w:left w:val="single" w:sz="4" w:space="0" w:color="auto"/>
              <w:bottom w:val="single" w:sz="4" w:space="0" w:color="auto"/>
              <w:right w:val="single" w:sz="4" w:space="0" w:color="auto"/>
            </w:tcBorders>
            <w:vAlign w:val="center"/>
          </w:tcPr>
          <w:p w14:paraId="017DB81E" w14:textId="77777777" w:rsidR="006F0590" w:rsidRDefault="000D0DA9">
            <w:pPr>
              <w:jc w:val="center"/>
              <w:rPr>
                <w:rFonts w:ascii="宋体" w:hAnsi="宋体"/>
                <w:sz w:val="24"/>
              </w:rPr>
            </w:pPr>
            <w:r>
              <w:rPr>
                <w:rFonts w:ascii="宋体" w:hAnsi="宋体"/>
                <w:sz w:val="24"/>
              </w:rPr>
              <w:t>5.7至7.3年</w:t>
            </w:r>
          </w:p>
        </w:tc>
        <w:tc>
          <w:tcPr>
            <w:tcW w:w="1431" w:type="dxa"/>
            <w:tcBorders>
              <w:top w:val="single" w:sz="4" w:space="0" w:color="auto"/>
              <w:left w:val="single" w:sz="4" w:space="0" w:color="auto"/>
              <w:bottom w:val="single" w:sz="4" w:space="0" w:color="auto"/>
              <w:right w:val="single" w:sz="4" w:space="0" w:color="auto"/>
            </w:tcBorders>
            <w:vAlign w:val="center"/>
          </w:tcPr>
          <w:p w14:paraId="4F0CFEFC" w14:textId="77777777" w:rsidR="006F0590" w:rsidRDefault="000D0DA9">
            <w:pPr>
              <w:jc w:val="center"/>
              <w:rPr>
                <w:rFonts w:ascii="宋体" w:hAnsi="宋体"/>
                <w:sz w:val="24"/>
              </w:rPr>
            </w:pPr>
            <w:r>
              <w:rPr>
                <w:rFonts w:ascii="宋体" w:hAnsi="宋体"/>
                <w:sz w:val="24"/>
              </w:rPr>
              <w:t>3.75％</w:t>
            </w:r>
          </w:p>
        </w:tc>
        <w:tc>
          <w:tcPr>
            <w:tcW w:w="2111" w:type="dxa"/>
            <w:tcBorders>
              <w:top w:val="single" w:sz="4" w:space="0" w:color="auto"/>
              <w:left w:val="single" w:sz="4" w:space="0" w:color="auto"/>
              <w:bottom w:val="single" w:sz="4" w:space="0" w:color="auto"/>
              <w:right w:val="single" w:sz="4" w:space="0" w:color="auto"/>
            </w:tcBorders>
            <w:vAlign w:val="center"/>
          </w:tcPr>
          <w:p w14:paraId="409EEA35" w14:textId="77777777" w:rsidR="006F0590" w:rsidRDefault="000D0DA9">
            <w:pPr>
              <w:jc w:val="center"/>
              <w:rPr>
                <w:rFonts w:ascii="宋体" w:hAnsi="宋体"/>
                <w:sz w:val="24"/>
              </w:rPr>
            </w:pPr>
            <w:r>
              <w:rPr>
                <w:rFonts w:ascii="宋体" w:hAnsi="宋体"/>
                <w:sz w:val="24"/>
              </w:rPr>
              <w:t>0.65</w:t>
            </w:r>
          </w:p>
        </w:tc>
      </w:tr>
      <w:tr w:rsidR="006F0590" w14:paraId="2004F7A8"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B119CDF" w14:textId="77777777" w:rsidR="006F0590" w:rsidRDefault="000D0DA9">
            <w:pPr>
              <w:jc w:val="center"/>
              <w:rPr>
                <w:rFonts w:ascii="宋体" w:hAnsi="宋体"/>
                <w:sz w:val="24"/>
              </w:rPr>
            </w:pPr>
            <w:r>
              <w:rPr>
                <w:rFonts w:ascii="宋体" w:hAnsi="宋体"/>
                <w:sz w:val="24"/>
              </w:rPr>
              <w:t>10至15年</w:t>
            </w:r>
          </w:p>
        </w:tc>
        <w:tc>
          <w:tcPr>
            <w:tcW w:w="2681" w:type="dxa"/>
            <w:tcBorders>
              <w:top w:val="single" w:sz="4" w:space="0" w:color="auto"/>
              <w:left w:val="single" w:sz="4" w:space="0" w:color="auto"/>
              <w:bottom w:val="single" w:sz="4" w:space="0" w:color="auto"/>
              <w:right w:val="single" w:sz="4" w:space="0" w:color="auto"/>
            </w:tcBorders>
            <w:vAlign w:val="center"/>
          </w:tcPr>
          <w:p w14:paraId="5DBBD041" w14:textId="77777777" w:rsidR="006F0590" w:rsidRDefault="000D0DA9">
            <w:pPr>
              <w:jc w:val="center"/>
              <w:rPr>
                <w:rFonts w:ascii="宋体" w:hAnsi="宋体"/>
                <w:sz w:val="24"/>
              </w:rPr>
            </w:pPr>
            <w:r>
              <w:rPr>
                <w:rFonts w:ascii="宋体" w:hAnsi="宋体"/>
                <w:sz w:val="24"/>
              </w:rPr>
              <w:t>7.3至9.3年</w:t>
            </w:r>
          </w:p>
        </w:tc>
        <w:tc>
          <w:tcPr>
            <w:tcW w:w="1431" w:type="dxa"/>
            <w:tcBorders>
              <w:top w:val="single" w:sz="4" w:space="0" w:color="auto"/>
              <w:left w:val="single" w:sz="4" w:space="0" w:color="auto"/>
              <w:bottom w:val="single" w:sz="4" w:space="0" w:color="auto"/>
              <w:right w:val="single" w:sz="4" w:space="0" w:color="auto"/>
            </w:tcBorders>
            <w:vAlign w:val="center"/>
          </w:tcPr>
          <w:p w14:paraId="09314521" w14:textId="77777777" w:rsidR="006F0590" w:rsidRDefault="000D0DA9">
            <w:pPr>
              <w:jc w:val="center"/>
              <w:rPr>
                <w:rFonts w:ascii="宋体" w:hAnsi="宋体"/>
                <w:sz w:val="24"/>
              </w:rPr>
            </w:pPr>
            <w:r>
              <w:rPr>
                <w:rFonts w:ascii="宋体" w:hAnsi="宋体"/>
                <w:sz w:val="24"/>
              </w:rPr>
              <w:t>4.50％</w:t>
            </w:r>
          </w:p>
        </w:tc>
        <w:tc>
          <w:tcPr>
            <w:tcW w:w="2111" w:type="dxa"/>
            <w:tcBorders>
              <w:top w:val="single" w:sz="4" w:space="0" w:color="auto"/>
              <w:left w:val="single" w:sz="4" w:space="0" w:color="auto"/>
              <w:bottom w:val="single" w:sz="4" w:space="0" w:color="auto"/>
              <w:right w:val="single" w:sz="4" w:space="0" w:color="auto"/>
            </w:tcBorders>
            <w:vAlign w:val="center"/>
          </w:tcPr>
          <w:p w14:paraId="4235AB9A" w14:textId="77777777" w:rsidR="006F0590" w:rsidRDefault="000D0DA9">
            <w:pPr>
              <w:jc w:val="center"/>
              <w:rPr>
                <w:rFonts w:ascii="宋体" w:hAnsi="宋体"/>
                <w:sz w:val="24"/>
              </w:rPr>
            </w:pPr>
            <w:r>
              <w:rPr>
                <w:rFonts w:ascii="宋体" w:hAnsi="宋体"/>
                <w:sz w:val="24"/>
              </w:rPr>
              <w:t>0.60</w:t>
            </w:r>
          </w:p>
        </w:tc>
      </w:tr>
      <w:tr w:rsidR="006F0590" w14:paraId="1EAB1D5D"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99DB128" w14:textId="77777777" w:rsidR="006F0590" w:rsidRDefault="000D0DA9">
            <w:pPr>
              <w:jc w:val="center"/>
              <w:rPr>
                <w:rFonts w:ascii="宋体" w:hAnsi="宋体"/>
                <w:sz w:val="24"/>
              </w:rPr>
            </w:pPr>
            <w:r>
              <w:rPr>
                <w:rFonts w:ascii="宋体" w:hAnsi="宋体"/>
                <w:sz w:val="24"/>
              </w:rPr>
              <w:t>15至20年</w:t>
            </w:r>
          </w:p>
        </w:tc>
        <w:tc>
          <w:tcPr>
            <w:tcW w:w="2681" w:type="dxa"/>
            <w:tcBorders>
              <w:top w:val="single" w:sz="4" w:space="0" w:color="auto"/>
              <w:left w:val="single" w:sz="4" w:space="0" w:color="auto"/>
              <w:bottom w:val="single" w:sz="4" w:space="0" w:color="auto"/>
              <w:right w:val="single" w:sz="4" w:space="0" w:color="auto"/>
            </w:tcBorders>
            <w:vAlign w:val="center"/>
          </w:tcPr>
          <w:p w14:paraId="31A25686" w14:textId="77777777" w:rsidR="006F0590" w:rsidRDefault="000D0DA9">
            <w:pPr>
              <w:jc w:val="center"/>
              <w:rPr>
                <w:rFonts w:ascii="宋体" w:hAnsi="宋体"/>
                <w:sz w:val="24"/>
              </w:rPr>
            </w:pPr>
            <w:r>
              <w:rPr>
                <w:rFonts w:ascii="宋体" w:hAnsi="宋体"/>
                <w:sz w:val="24"/>
              </w:rPr>
              <w:t>9.3至10.6年</w:t>
            </w:r>
          </w:p>
        </w:tc>
        <w:tc>
          <w:tcPr>
            <w:tcW w:w="1431" w:type="dxa"/>
            <w:tcBorders>
              <w:top w:val="single" w:sz="4" w:space="0" w:color="auto"/>
              <w:left w:val="single" w:sz="4" w:space="0" w:color="auto"/>
              <w:bottom w:val="single" w:sz="4" w:space="0" w:color="auto"/>
              <w:right w:val="single" w:sz="4" w:space="0" w:color="auto"/>
            </w:tcBorders>
            <w:vAlign w:val="center"/>
          </w:tcPr>
          <w:p w14:paraId="3BDE2A6C" w14:textId="77777777" w:rsidR="006F0590" w:rsidRDefault="000D0DA9">
            <w:pPr>
              <w:jc w:val="center"/>
              <w:rPr>
                <w:rFonts w:ascii="宋体" w:hAnsi="宋体"/>
                <w:sz w:val="24"/>
              </w:rPr>
            </w:pPr>
            <w:r>
              <w:rPr>
                <w:rFonts w:ascii="宋体" w:hAnsi="宋体"/>
                <w:sz w:val="24"/>
              </w:rPr>
              <w:t>5.25％</w:t>
            </w:r>
          </w:p>
        </w:tc>
        <w:tc>
          <w:tcPr>
            <w:tcW w:w="2111" w:type="dxa"/>
            <w:tcBorders>
              <w:top w:val="single" w:sz="4" w:space="0" w:color="auto"/>
              <w:left w:val="single" w:sz="4" w:space="0" w:color="auto"/>
              <w:bottom w:val="single" w:sz="4" w:space="0" w:color="auto"/>
              <w:right w:val="single" w:sz="4" w:space="0" w:color="auto"/>
            </w:tcBorders>
            <w:vAlign w:val="center"/>
          </w:tcPr>
          <w:p w14:paraId="550E3F9C" w14:textId="77777777" w:rsidR="006F0590" w:rsidRDefault="000D0DA9">
            <w:pPr>
              <w:jc w:val="center"/>
              <w:rPr>
                <w:rFonts w:ascii="宋体" w:hAnsi="宋体"/>
                <w:sz w:val="24"/>
              </w:rPr>
            </w:pPr>
            <w:r>
              <w:rPr>
                <w:rFonts w:ascii="宋体" w:hAnsi="宋体"/>
                <w:sz w:val="24"/>
              </w:rPr>
              <w:t>0.60</w:t>
            </w:r>
          </w:p>
        </w:tc>
      </w:tr>
      <w:tr w:rsidR="006F0590" w14:paraId="2CB5B536"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5923C86" w14:textId="77777777" w:rsidR="006F0590" w:rsidRDefault="000D0DA9">
            <w:pPr>
              <w:jc w:val="center"/>
              <w:rPr>
                <w:rFonts w:ascii="宋体" w:hAnsi="宋体"/>
                <w:sz w:val="24"/>
              </w:rPr>
            </w:pPr>
            <w:r>
              <w:rPr>
                <w:rFonts w:ascii="宋体" w:hAnsi="宋体"/>
                <w:sz w:val="24"/>
              </w:rPr>
              <w:t>20年以上</w:t>
            </w:r>
          </w:p>
        </w:tc>
        <w:tc>
          <w:tcPr>
            <w:tcW w:w="2681" w:type="dxa"/>
            <w:tcBorders>
              <w:top w:val="single" w:sz="4" w:space="0" w:color="auto"/>
              <w:left w:val="single" w:sz="4" w:space="0" w:color="auto"/>
              <w:bottom w:val="single" w:sz="4" w:space="0" w:color="auto"/>
              <w:right w:val="single" w:sz="4" w:space="0" w:color="auto"/>
            </w:tcBorders>
            <w:vAlign w:val="center"/>
          </w:tcPr>
          <w:p w14:paraId="76289BF2" w14:textId="77777777" w:rsidR="006F0590" w:rsidRDefault="000D0DA9">
            <w:pPr>
              <w:jc w:val="center"/>
              <w:rPr>
                <w:rFonts w:ascii="宋体" w:hAnsi="宋体"/>
                <w:sz w:val="24"/>
              </w:rPr>
            </w:pPr>
            <w:r>
              <w:rPr>
                <w:rFonts w:ascii="宋体" w:hAnsi="宋体"/>
                <w:sz w:val="24"/>
              </w:rPr>
              <w:t>10.6至12年</w:t>
            </w:r>
          </w:p>
        </w:tc>
        <w:tc>
          <w:tcPr>
            <w:tcW w:w="1431" w:type="dxa"/>
            <w:tcBorders>
              <w:top w:val="single" w:sz="4" w:space="0" w:color="auto"/>
              <w:left w:val="single" w:sz="4" w:space="0" w:color="auto"/>
              <w:bottom w:val="single" w:sz="4" w:space="0" w:color="auto"/>
              <w:right w:val="single" w:sz="4" w:space="0" w:color="auto"/>
            </w:tcBorders>
            <w:vAlign w:val="center"/>
          </w:tcPr>
          <w:p w14:paraId="0EF386C2" w14:textId="77777777" w:rsidR="006F0590" w:rsidRDefault="000D0DA9">
            <w:pPr>
              <w:jc w:val="center"/>
              <w:rPr>
                <w:rFonts w:ascii="宋体" w:hAnsi="宋体"/>
                <w:sz w:val="24"/>
              </w:rPr>
            </w:pPr>
            <w:r>
              <w:rPr>
                <w:rFonts w:ascii="宋体" w:hAnsi="宋体"/>
                <w:sz w:val="24"/>
              </w:rPr>
              <w:t>6.00％</w:t>
            </w:r>
          </w:p>
        </w:tc>
        <w:tc>
          <w:tcPr>
            <w:tcW w:w="2111" w:type="dxa"/>
            <w:tcBorders>
              <w:top w:val="single" w:sz="4" w:space="0" w:color="auto"/>
              <w:left w:val="single" w:sz="4" w:space="0" w:color="auto"/>
              <w:bottom w:val="single" w:sz="4" w:space="0" w:color="auto"/>
              <w:right w:val="single" w:sz="4" w:space="0" w:color="auto"/>
            </w:tcBorders>
            <w:vAlign w:val="center"/>
          </w:tcPr>
          <w:p w14:paraId="2F856D0F" w14:textId="77777777" w:rsidR="006F0590" w:rsidRDefault="000D0DA9">
            <w:pPr>
              <w:jc w:val="center"/>
              <w:rPr>
                <w:rFonts w:ascii="宋体" w:hAnsi="宋体"/>
                <w:sz w:val="24"/>
              </w:rPr>
            </w:pPr>
            <w:r>
              <w:rPr>
                <w:rFonts w:ascii="宋体" w:hAnsi="宋体"/>
                <w:sz w:val="24"/>
              </w:rPr>
              <w:t>0.60</w:t>
            </w:r>
          </w:p>
        </w:tc>
      </w:tr>
      <w:tr w:rsidR="006F0590" w14:paraId="30608CDD"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1F5AD83" w14:textId="77777777" w:rsidR="006F0590" w:rsidRDefault="006F0590">
            <w:pPr>
              <w:jc w:val="center"/>
              <w:rPr>
                <w:rFonts w:ascii="宋体" w:hAnsi="宋体"/>
                <w:sz w:val="24"/>
              </w:rPr>
            </w:pPr>
          </w:p>
        </w:tc>
        <w:tc>
          <w:tcPr>
            <w:tcW w:w="2681" w:type="dxa"/>
            <w:tcBorders>
              <w:top w:val="single" w:sz="4" w:space="0" w:color="auto"/>
              <w:left w:val="single" w:sz="4" w:space="0" w:color="auto"/>
              <w:bottom w:val="single" w:sz="4" w:space="0" w:color="auto"/>
              <w:right w:val="single" w:sz="4" w:space="0" w:color="auto"/>
            </w:tcBorders>
            <w:vAlign w:val="center"/>
          </w:tcPr>
          <w:p w14:paraId="590E4CB6" w14:textId="77777777" w:rsidR="006F0590" w:rsidRDefault="000D0DA9">
            <w:pPr>
              <w:jc w:val="center"/>
              <w:rPr>
                <w:rFonts w:ascii="宋体" w:hAnsi="宋体"/>
                <w:sz w:val="24"/>
              </w:rPr>
            </w:pPr>
            <w:r>
              <w:rPr>
                <w:rFonts w:ascii="宋体" w:hAnsi="宋体"/>
                <w:sz w:val="24"/>
              </w:rPr>
              <w:t>12至20年</w:t>
            </w:r>
          </w:p>
        </w:tc>
        <w:tc>
          <w:tcPr>
            <w:tcW w:w="1431" w:type="dxa"/>
            <w:tcBorders>
              <w:top w:val="single" w:sz="4" w:space="0" w:color="auto"/>
              <w:left w:val="single" w:sz="4" w:space="0" w:color="auto"/>
              <w:bottom w:val="single" w:sz="4" w:space="0" w:color="auto"/>
              <w:right w:val="single" w:sz="4" w:space="0" w:color="auto"/>
            </w:tcBorders>
            <w:vAlign w:val="center"/>
          </w:tcPr>
          <w:p w14:paraId="14A1BEF5" w14:textId="77777777" w:rsidR="006F0590" w:rsidRDefault="000D0DA9">
            <w:pPr>
              <w:jc w:val="center"/>
              <w:rPr>
                <w:rFonts w:ascii="宋体" w:hAnsi="宋体"/>
                <w:sz w:val="24"/>
              </w:rPr>
            </w:pPr>
            <w:r>
              <w:rPr>
                <w:rFonts w:ascii="宋体" w:hAnsi="宋体"/>
                <w:sz w:val="24"/>
              </w:rPr>
              <w:t>8.00％</w:t>
            </w:r>
          </w:p>
        </w:tc>
        <w:tc>
          <w:tcPr>
            <w:tcW w:w="2111" w:type="dxa"/>
            <w:tcBorders>
              <w:top w:val="single" w:sz="4" w:space="0" w:color="auto"/>
              <w:left w:val="single" w:sz="4" w:space="0" w:color="auto"/>
              <w:bottom w:val="single" w:sz="4" w:space="0" w:color="auto"/>
              <w:right w:val="single" w:sz="4" w:space="0" w:color="auto"/>
            </w:tcBorders>
            <w:vAlign w:val="center"/>
          </w:tcPr>
          <w:p w14:paraId="1C277281" w14:textId="77777777" w:rsidR="006F0590" w:rsidRDefault="000D0DA9">
            <w:pPr>
              <w:jc w:val="center"/>
              <w:rPr>
                <w:rFonts w:ascii="宋体" w:hAnsi="宋体"/>
                <w:sz w:val="24"/>
              </w:rPr>
            </w:pPr>
            <w:r>
              <w:rPr>
                <w:rFonts w:ascii="宋体" w:hAnsi="宋体"/>
                <w:sz w:val="24"/>
              </w:rPr>
              <w:t>0.60</w:t>
            </w:r>
          </w:p>
        </w:tc>
      </w:tr>
      <w:tr w:rsidR="006F0590" w14:paraId="699A54BE"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308D780" w14:textId="77777777" w:rsidR="006F0590" w:rsidRDefault="006F0590">
            <w:pPr>
              <w:jc w:val="center"/>
              <w:rPr>
                <w:rFonts w:ascii="宋体" w:hAnsi="宋体"/>
                <w:sz w:val="24"/>
              </w:rPr>
            </w:pPr>
          </w:p>
        </w:tc>
        <w:tc>
          <w:tcPr>
            <w:tcW w:w="2681" w:type="dxa"/>
            <w:tcBorders>
              <w:top w:val="single" w:sz="4" w:space="0" w:color="auto"/>
              <w:left w:val="single" w:sz="4" w:space="0" w:color="auto"/>
              <w:bottom w:val="single" w:sz="4" w:space="0" w:color="auto"/>
              <w:right w:val="single" w:sz="4" w:space="0" w:color="auto"/>
            </w:tcBorders>
            <w:vAlign w:val="center"/>
          </w:tcPr>
          <w:p w14:paraId="053FFB7B" w14:textId="77777777" w:rsidR="006F0590" w:rsidRDefault="000D0DA9">
            <w:pPr>
              <w:jc w:val="center"/>
              <w:rPr>
                <w:rFonts w:ascii="宋体" w:hAnsi="宋体"/>
                <w:sz w:val="24"/>
              </w:rPr>
            </w:pPr>
            <w:r>
              <w:rPr>
                <w:rFonts w:ascii="宋体" w:hAnsi="宋体"/>
                <w:sz w:val="24"/>
              </w:rPr>
              <w:t>20年以上</w:t>
            </w:r>
          </w:p>
        </w:tc>
        <w:tc>
          <w:tcPr>
            <w:tcW w:w="1431" w:type="dxa"/>
            <w:tcBorders>
              <w:top w:val="single" w:sz="4" w:space="0" w:color="auto"/>
              <w:left w:val="single" w:sz="4" w:space="0" w:color="auto"/>
              <w:bottom w:val="single" w:sz="4" w:space="0" w:color="auto"/>
              <w:right w:val="single" w:sz="4" w:space="0" w:color="auto"/>
            </w:tcBorders>
            <w:vAlign w:val="center"/>
          </w:tcPr>
          <w:p w14:paraId="029F5716" w14:textId="77777777" w:rsidR="006F0590" w:rsidRDefault="000D0DA9">
            <w:pPr>
              <w:jc w:val="center"/>
              <w:rPr>
                <w:rFonts w:ascii="宋体" w:hAnsi="宋体"/>
                <w:sz w:val="24"/>
              </w:rPr>
            </w:pPr>
            <w:r>
              <w:rPr>
                <w:rFonts w:ascii="宋体" w:hAnsi="宋体"/>
                <w:sz w:val="24"/>
              </w:rPr>
              <w:t>12.50％</w:t>
            </w:r>
          </w:p>
        </w:tc>
        <w:tc>
          <w:tcPr>
            <w:tcW w:w="2111" w:type="dxa"/>
            <w:tcBorders>
              <w:top w:val="single" w:sz="4" w:space="0" w:color="auto"/>
              <w:left w:val="single" w:sz="4" w:space="0" w:color="auto"/>
              <w:bottom w:val="single" w:sz="4" w:space="0" w:color="auto"/>
              <w:right w:val="single" w:sz="4" w:space="0" w:color="auto"/>
            </w:tcBorders>
            <w:vAlign w:val="center"/>
          </w:tcPr>
          <w:p w14:paraId="35DC9058" w14:textId="77777777" w:rsidR="006F0590" w:rsidRDefault="000D0DA9">
            <w:pPr>
              <w:jc w:val="center"/>
              <w:rPr>
                <w:rFonts w:ascii="宋体" w:hAnsi="宋体"/>
                <w:sz w:val="24"/>
              </w:rPr>
            </w:pPr>
            <w:r>
              <w:rPr>
                <w:rFonts w:ascii="宋体" w:hAnsi="宋体"/>
                <w:sz w:val="24"/>
              </w:rPr>
              <w:t>0.60</w:t>
            </w:r>
          </w:p>
        </w:tc>
      </w:tr>
    </w:tbl>
    <w:p w14:paraId="60B1DFA1" w14:textId="77777777" w:rsidR="006F0590" w:rsidRDefault="000D0DA9" w:rsidP="00AC100E">
      <w:pPr>
        <w:keepNext/>
        <w:snapToGrid w:val="0"/>
        <w:spacing w:line="480" w:lineRule="exact"/>
        <w:jc w:val="center"/>
        <w:rPr>
          <w:rFonts w:ascii="楷体_GB2312" w:eastAsia="楷体_GB2312"/>
          <w:b/>
          <w:sz w:val="28"/>
          <w:szCs w:val="28"/>
        </w:rPr>
      </w:pPr>
      <w:r>
        <w:rPr>
          <w:rFonts w:ascii="楷体_GB2312" w:eastAsia="楷体_GB2312" w:hint="eastAsia"/>
          <w:b/>
          <w:sz w:val="28"/>
          <w:szCs w:val="28"/>
        </w:rPr>
        <w:lastRenderedPageBreak/>
        <w:t>表3 时区和权重</w:t>
      </w:r>
    </w:p>
    <w:tbl>
      <w:tblPr>
        <w:tblW w:w="90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9"/>
        <w:gridCol w:w="2236"/>
        <w:gridCol w:w="1686"/>
        <w:gridCol w:w="1859"/>
        <w:gridCol w:w="2218"/>
      </w:tblGrid>
      <w:tr w:rsidR="006F0590" w14:paraId="191165E7" w14:textId="77777777">
        <w:trPr>
          <w:cantSplit/>
          <w:tblHeader/>
          <w:jc w:val="center"/>
        </w:trPr>
        <w:tc>
          <w:tcPr>
            <w:tcW w:w="1089" w:type="dxa"/>
            <w:tcBorders>
              <w:top w:val="single" w:sz="4" w:space="0" w:color="auto"/>
              <w:left w:val="single" w:sz="4" w:space="0" w:color="auto"/>
              <w:bottom w:val="single" w:sz="4" w:space="0" w:color="auto"/>
              <w:right w:val="single" w:sz="4" w:space="0" w:color="auto"/>
            </w:tcBorders>
            <w:vAlign w:val="center"/>
          </w:tcPr>
          <w:p w14:paraId="22DCFED4" w14:textId="77777777" w:rsidR="006F0590" w:rsidRDefault="000D0DA9">
            <w:pPr>
              <w:jc w:val="center"/>
              <w:rPr>
                <w:rFonts w:ascii="宋体" w:hAnsi="宋体"/>
                <w:b/>
                <w:sz w:val="24"/>
              </w:rPr>
            </w:pPr>
            <w:r>
              <w:rPr>
                <w:rFonts w:ascii="宋体" w:hAnsi="宋体" w:hint="eastAsia"/>
                <w:b/>
                <w:sz w:val="24"/>
              </w:rPr>
              <w:t>时</w:t>
            </w:r>
            <w:r>
              <w:rPr>
                <w:rFonts w:ascii="宋体" w:hAnsi="宋体"/>
                <w:b/>
                <w:sz w:val="24"/>
              </w:rPr>
              <w:t xml:space="preserve"> </w:t>
            </w:r>
            <w:r>
              <w:rPr>
                <w:rFonts w:ascii="宋体" w:hAnsi="宋体" w:hint="eastAsia"/>
                <w:b/>
                <w:sz w:val="24"/>
              </w:rPr>
              <w:t>区</w:t>
            </w:r>
          </w:p>
        </w:tc>
        <w:tc>
          <w:tcPr>
            <w:tcW w:w="2236" w:type="dxa"/>
            <w:tcBorders>
              <w:top w:val="single" w:sz="4" w:space="0" w:color="auto"/>
              <w:left w:val="single" w:sz="4" w:space="0" w:color="auto"/>
              <w:bottom w:val="single" w:sz="4" w:space="0" w:color="auto"/>
              <w:right w:val="single" w:sz="4" w:space="0" w:color="auto"/>
            </w:tcBorders>
            <w:vAlign w:val="center"/>
          </w:tcPr>
          <w:p w14:paraId="1328CE9B" w14:textId="77777777" w:rsidR="006F0590" w:rsidRDefault="000D0DA9">
            <w:pPr>
              <w:jc w:val="center"/>
              <w:rPr>
                <w:rFonts w:ascii="宋体" w:hAnsi="宋体"/>
                <w:b/>
                <w:sz w:val="24"/>
              </w:rPr>
            </w:pPr>
            <w:r>
              <w:rPr>
                <w:rFonts w:ascii="宋体" w:hAnsi="宋体" w:hint="eastAsia"/>
                <w:b/>
                <w:sz w:val="24"/>
              </w:rPr>
              <w:t>时</w:t>
            </w:r>
            <w:r>
              <w:rPr>
                <w:rFonts w:ascii="宋体" w:hAnsi="宋体"/>
                <w:b/>
                <w:sz w:val="24"/>
              </w:rPr>
              <w:t xml:space="preserve">   </w:t>
            </w:r>
            <w:r>
              <w:rPr>
                <w:rFonts w:ascii="宋体" w:hAnsi="宋体" w:hint="eastAsia"/>
                <w:b/>
                <w:sz w:val="24"/>
              </w:rPr>
              <w:t>段</w:t>
            </w:r>
          </w:p>
        </w:tc>
        <w:tc>
          <w:tcPr>
            <w:tcW w:w="1686" w:type="dxa"/>
            <w:tcBorders>
              <w:top w:val="single" w:sz="4" w:space="0" w:color="auto"/>
              <w:left w:val="single" w:sz="4" w:space="0" w:color="auto"/>
              <w:bottom w:val="single" w:sz="4" w:space="0" w:color="auto"/>
              <w:right w:val="single" w:sz="4" w:space="0" w:color="auto"/>
            </w:tcBorders>
            <w:vAlign w:val="center"/>
          </w:tcPr>
          <w:p w14:paraId="1F8ABDA4" w14:textId="77777777" w:rsidR="006F0590" w:rsidRDefault="000D0DA9">
            <w:pPr>
              <w:jc w:val="center"/>
              <w:rPr>
                <w:rFonts w:ascii="宋体" w:hAnsi="宋体"/>
                <w:b/>
                <w:sz w:val="24"/>
              </w:rPr>
            </w:pPr>
            <w:r>
              <w:rPr>
                <w:rFonts w:ascii="宋体" w:hAnsi="宋体" w:hint="eastAsia"/>
                <w:b/>
                <w:sz w:val="24"/>
              </w:rPr>
              <w:t>同一区内</w:t>
            </w:r>
          </w:p>
        </w:tc>
        <w:tc>
          <w:tcPr>
            <w:tcW w:w="1859" w:type="dxa"/>
            <w:tcBorders>
              <w:top w:val="single" w:sz="4" w:space="0" w:color="auto"/>
              <w:left w:val="single" w:sz="4" w:space="0" w:color="auto"/>
              <w:bottom w:val="single" w:sz="4" w:space="0" w:color="auto"/>
              <w:right w:val="single" w:sz="4" w:space="0" w:color="auto"/>
            </w:tcBorders>
            <w:vAlign w:val="center"/>
          </w:tcPr>
          <w:p w14:paraId="289A124C" w14:textId="77777777" w:rsidR="006F0590" w:rsidRDefault="000D0DA9">
            <w:pPr>
              <w:jc w:val="center"/>
              <w:rPr>
                <w:rFonts w:ascii="宋体" w:hAnsi="宋体"/>
                <w:b/>
                <w:sz w:val="24"/>
              </w:rPr>
            </w:pPr>
            <w:r>
              <w:rPr>
                <w:rFonts w:ascii="宋体" w:hAnsi="宋体" w:hint="eastAsia"/>
                <w:b/>
                <w:sz w:val="24"/>
              </w:rPr>
              <w:t>相邻区之间</w:t>
            </w:r>
          </w:p>
        </w:tc>
        <w:tc>
          <w:tcPr>
            <w:tcW w:w="2218" w:type="dxa"/>
            <w:tcBorders>
              <w:top w:val="single" w:sz="4" w:space="0" w:color="auto"/>
              <w:left w:val="single" w:sz="4" w:space="0" w:color="auto"/>
              <w:bottom w:val="single" w:sz="4" w:space="0" w:color="auto"/>
              <w:right w:val="single" w:sz="4" w:space="0" w:color="auto"/>
            </w:tcBorders>
            <w:vAlign w:val="center"/>
          </w:tcPr>
          <w:p w14:paraId="39BCBFA8" w14:textId="77777777" w:rsidR="006F0590" w:rsidRDefault="000D0DA9">
            <w:pPr>
              <w:jc w:val="center"/>
              <w:rPr>
                <w:rFonts w:ascii="宋体" w:hAnsi="宋体"/>
                <w:b/>
                <w:sz w:val="24"/>
              </w:rPr>
            </w:pPr>
            <w:r>
              <w:rPr>
                <w:rFonts w:ascii="宋体" w:hAnsi="宋体"/>
                <w:b/>
                <w:sz w:val="24"/>
              </w:rPr>
              <w:t>1区和3区之间</w:t>
            </w:r>
          </w:p>
        </w:tc>
      </w:tr>
      <w:tr w:rsidR="006F0590" w14:paraId="7E208693" w14:textId="77777777">
        <w:trPr>
          <w:cantSplit/>
          <w:jc w:val="center"/>
        </w:trPr>
        <w:tc>
          <w:tcPr>
            <w:tcW w:w="1089" w:type="dxa"/>
            <w:vMerge w:val="restart"/>
            <w:tcBorders>
              <w:top w:val="single" w:sz="4" w:space="0" w:color="auto"/>
              <w:left w:val="single" w:sz="4" w:space="0" w:color="auto"/>
              <w:bottom w:val="single" w:sz="4" w:space="0" w:color="auto"/>
              <w:right w:val="single" w:sz="4" w:space="0" w:color="auto"/>
            </w:tcBorders>
            <w:vAlign w:val="center"/>
          </w:tcPr>
          <w:p w14:paraId="4B7F088A" w14:textId="77777777" w:rsidR="006F0590" w:rsidRDefault="000D0DA9">
            <w:pPr>
              <w:jc w:val="center"/>
              <w:rPr>
                <w:rFonts w:ascii="宋体" w:hAnsi="宋体" w:cs="宋体"/>
                <w:sz w:val="24"/>
              </w:rPr>
            </w:pPr>
            <w:r>
              <w:rPr>
                <w:rFonts w:ascii="宋体" w:hAnsi="宋体" w:cs="宋体"/>
                <w:sz w:val="24"/>
              </w:rPr>
              <w:t>1区</w:t>
            </w:r>
          </w:p>
        </w:tc>
        <w:tc>
          <w:tcPr>
            <w:tcW w:w="2236" w:type="dxa"/>
            <w:tcBorders>
              <w:top w:val="single" w:sz="4" w:space="0" w:color="auto"/>
              <w:left w:val="single" w:sz="4" w:space="0" w:color="auto"/>
              <w:bottom w:val="single" w:sz="4" w:space="0" w:color="auto"/>
              <w:right w:val="single" w:sz="4" w:space="0" w:color="auto"/>
            </w:tcBorders>
            <w:vAlign w:val="center"/>
          </w:tcPr>
          <w:p w14:paraId="637763C2" w14:textId="77777777" w:rsidR="006F0590" w:rsidRDefault="000D0DA9">
            <w:pPr>
              <w:jc w:val="center"/>
              <w:rPr>
                <w:rFonts w:ascii="宋体" w:hAnsi="宋体" w:cs="宋体"/>
                <w:sz w:val="24"/>
              </w:rPr>
            </w:pPr>
            <w:r>
              <w:rPr>
                <w:rFonts w:ascii="宋体" w:hAnsi="宋体" w:cs="宋体"/>
                <w:sz w:val="24"/>
              </w:rPr>
              <w:t>0-1个月</w:t>
            </w:r>
          </w:p>
        </w:tc>
        <w:tc>
          <w:tcPr>
            <w:tcW w:w="1686" w:type="dxa"/>
            <w:vMerge w:val="restart"/>
            <w:tcBorders>
              <w:top w:val="single" w:sz="4" w:space="0" w:color="auto"/>
              <w:left w:val="single" w:sz="4" w:space="0" w:color="auto"/>
              <w:bottom w:val="single" w:sz="4" w:space="0" w:color="auto"/>
              <w:right w:val="single" w:sz="4" w:space="0" w:color="auto"/>
            </w:tcBorders>
            <w:vAlign w:val="center"/>
          </w:tcPr>
          <w:p w14:paraId="763AEA35" w14:textId="77777777" w:rsidR="006F0590" w:rsidRDefault="000D0DA9">
            <w:pPr>
              <w:jc w:val="center"/>
              <w:rPr>
                <w:rFonts w:ascii="宋体" w:hAnsi="宋体" w:cs="宋体"/>
                <w:sz w:val="24"/>
              </w:rPr>
            </w:pPr>
            <w:r>
              <w:rPr>
                <w:rFonts w:ascii="宋体" w:hAnsi="宋体" w:cs="宋体"/>
                <w:sz w:val="24"/>
              </w:rPr>
              <w:t>40％</w:t>
            </w:r>
          </w:p>
        </w:tc>
        <w:tc>
          <w:tcPr>
            <w:tcW w:w="1859" w:type="dxa"/>
            <w:vMerge w:val="restart"/>
            <w:tcBorders>
              <w:top w:val="single" w:sz="4" w:space="0" w:color="auto"/>
              <w:left w:val="single" w:sz="4" w:space="0" w:color="auto"/>
              <w:right w:val="single" w:sz="4" w:space="0" w:color="auto"/>
            </w:tcBorders>
            <w:vAlign w:val="center"/>
          </w:tcPr>
          <w:p w14:paraId="4D37E033" w14:textId="77777777" w:rsidR="006F0590" w:rsidRDefault="000D0DA9">
            <w:pPr>
              <w:jc w:val="center"/>
              <w:rPr>
                <w:rFonts w:ascii="宋体" w:hAnsi="宋体" w:cs="宋体"/>
                <w:sz w:val="24"/>
              </w:rPr>
            </w:pPr>
            <w:r>
              <w:rPr>
                <w:rFonts w:ascii="宋体" w:hAnsi="宋体" w:cs="宋体"/>
                <w:sz w:val="24"/>
              </w:rPr>
              <w:t>40％</w:t>
            </w:r>
          </w:p>
        </w:tc>
        <w:tc>
          <w:tcPr>
            <w:tcW w:w="2218" w:type="dxa"/>
            <w:vMerge w:val="restart"/>
            <w:tcBorders>
              <w:top w:val="single" w:sz="4" w:space="0" w:color="auto"/>
              <w:left w:val="single" w:sz="4" w:space="0" w:color="auto"/>
              <w:right w:val="single" w:sz="4" w:space="0" w:color="auto"/>
            </w:tcBorders>
            <w:vAlign w:val="center"/>
          </w:tcPr>
          <w:p w14:paraId="73A0E28F" w14:textId="77777777" w:rsidR="006F0590" w:rsidRDefault="000D0DA9">
            <w:pPr>
              <w:jc w:val="center"/>
              <w:rPr>
                <w:rFonts w:ascii="宋体" w:hAnsi="宋体" w:cs="宋体"/>
                <w:sz w:val="24"/>
              </w:rPr>
            </w:pPr>
            <w:r>
              <w:rPr>
                <w:rFonts w:ascii="宋体" w:hAnsi="宋体" w:cs="宋体"/>
                <w:sz w:val="24"/>
              </w:rPr>
              <w:t>100％</w:t>
            </w:r>
          </w:p>
        </w:tc>
      </w:tr>
      <w:tr w:rsidR="006F0590" w14:paraId="3A9C9DFE" w14:textId="77777777">
        <w:trPr>
          <w:cantSplit/>
          <w:jc w:val="center"/>
        </w:trPr>
        <w:tc>
          <w:tcPr>
            <w:tcW w:w="1089" w:type="dxa"/>
            <w:vMerge/>
            <w:tcBorders>
              <w:top w:val="single" w:sz="4" w:space="0" w:color="auto"/>
              <w:left w:val="single" w:sz="4" w:space="0" w:color="auto"/>
              <w:bottom w:val="single" w:sz="4" w:space="0" w:color="auto"/>
              <w:right w:val="single" w:sz="4" w:space="0" w:color="auto"/>
            </w:tcBorders>
            <w:vAlign w:val="center"/>
          </w:tcPr>
          <w:p w14:paraId="40D7B4B5" w14:textId="77777777" w:rsidR="006F0590" w:rsidRDefault="006F0590">
            <w:pPr>
              <w:jc w:val="center"/>
              <w:rPr>
                <w:rFonts w:ascii="宋体" w:hAnsi="宋体" w:cs="宋体"/>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2E3C4E9C" w14:textId="77777777" w:rsidR="006F0590" w:rsidRDefault="000D0DA9">
            <w:pPr>
              <w:jc w:val="center"/>
              <w:rPr>
                <w:rFonts w:ascii="宋体" w:hAnsi="宋体" w:cs="宋体"/>
                <w:sz w:val="24"/>
              </w:rPr>
            </w:pPr>
            <w:r>
              <w:rPr>
                <w:rFonts w:ascii="宋体" w:hAnsi="宋体" w:cs="宋体"/>
                <w:sz w:val="24"/>
              </w:rPr>
              <w:t>1至3个月</w:t>
            </w:r>
          </w:p>
        </w:tc>
        <w:tc>
          <w:tcPr>
            <w:tcW w:w="1686" w:type="dxa"/>
            <w:vMerge/>
            <w:tcBorders>
              <w:top w:val="single" w:sz="4" w:space="0" w:color="auto"/>
              <w:left w:val="single" w:sz="4" w:space="0" w:color="auto"/>
              <w:bottom w:val="single" w:sz="4" w:space="0" w:color="auto"/>
              <w:right w:val="single" w:sz="4" w:space="0" w:color="auto"/>
            </w:tcBorders>
            <w:vAlign w:val="center"/>
          </w:tcPr>
          <w:p w14:paraId="5AA07BC1" w14:textId="77777777" w:rsidR="006F0590" w:rsidRDefault="006F0590">
            <w:pPr>
              <w:jc w:val="center"/>
              <w:rPr>
                <w:rFonts w:ascii="宋体" w:hAnsi="宋体" w:cs="宋体"/>
                <w:sz w:val="24"/>
              </w:rPr>
            </w:pPr>
          </w:p>
        </w:tc>
        <w:tc>
          <w:tcPr>
            <w:tcW w:w="1859" w:type="dxa"/>
            <w:vMerge/>
            <w:tcBorders>
              <w:left w:val="single" w:sz="4" w:space="0" w:color="auto"/>
              <w:right w:val="single" w:sz="4" w:space="0" w:color="auto"/>
            </w:tcBorders>
            <w:vAlign w:val="center"/>
          </w:tcPr>
          <w:p w14:paraId="59B88715" w14:textId="77777777" w:rsidR="006F0590" w:rsidRDefault="006F0590">
            <w:pPr>
              <w:jc w:val="center"/>
              <w:rPr>
                <w:rFonts w:ascii="宋体" w:hAnsi="宋体" w:cs="宋体"/>
                <w:sz w:val="24"/>
              </w:rPr>
            </w:pPr>
          </w:p>
        </w:tc>
        <w:tc>
          <w:tcPr>
            <w:tcW w:w="2218" w:type="dxa"/>
            <w:vMerge/>
            <w:tcBorders>
              <w:left w:val="single" w:sz="4" w:space="0" w:color="auto"/>
              <w:right w:val="single" w:sz="4" w:space="0" w:color="auto"/>
            </w:tcBorders>
            <w:vAlign w:val="center"/>
          </w:tcPr>
          <w:p w14:paraId="17232705" w14:textId="77777777" w:rsidR="006F0590" w:rsidRDefault="006F0590">
            <w:pPr>
              <w:jc w:val="center"/>
              <w:rPr>
                <w:rFonts w:ascii="宋体" w:hAnsi="宋体" w:cs="宋体"/>
                <w:sz w:val="24"/>
              </w:rPr>
            </w:pPr>
          </w:p>
        </w:tc>
      </w:tr>
      <w:tr w:rsidR="006F0590" w14:paraId="3A5F6CF4" w14:textId="77777777">
        <w:trPr>
          <w:cantSplit/>
          <w:jc w:val="center"/>
        </w:trPr>
        <w:tc>
          <w:tcPr>
            <w:tcW w:w="1089" w:type="dxa"/>
            <w:vMerge/>
            <w:tcBorders>
              <w:top w:val="single" w:sz="4" w:space="0" w:color="auto"/>
              <w:left w:val="single" w:sz="4" w:space="0" w:color="auto"/>
              <w:bottom w:val="single" w:sz="4" w:space="0" w:color="auto"/>
              <w:right w:val="single" w:sz="4" w:space="0" w:color="auto"/>
            </w:tcBorders>
            <w:vAlign w:val="center"/>
          </w:tcPr>
          <w:p w14:paraId="2565F570" w14:textId="77777777" w:rsidR="006F0590" w:rsidRDefault="006F0590">
            <w:pPr>
              <w:jc w:val="center"/>
              <w:rPr>
                <w:rFonts w:ascii="宋体" w:hAnsi="宋体" w:cs="宋体"/>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53858D32" w14:textId="77777777" w:rsidR="006F0590" w:rsidRDefault="000D0DA9">
            <w:pPr>
              <w:jc w:val="center"/>
              <w:rPr>
                <w:rFonts w:ascii="宋体" w:hAnsi="宋体" w:cs="宋体"/>
                <w:sz w:val="24"/>
              </w:rPr>
            </w:pPr>
            <w:r>
              <w:rPr>
                <w:rFonts w:ascii="宋体" w:hAnsi="宋体" w:cs="宋体"/>
                <w:sz w:val="24"/>
              </w:rPr>
              <w:t>3至6个月</w:t>
            </w:r>
          </w:p>
        </w:tc>
        <w:tc>
          <w:tcPr>
            <w:tcW w:w="1686" w:type="dxa"/>
            <w:vMerge/>
            <w:tcBorders>
              <w:top w:val="single" w:sz="4" w:space="0" w:color="auto"/>
              <w:left w:val="single" w:sz="4" w:space="0" w:color="auto"/>
              <w:bottom w:val="single" w:sz="4" w:space="0" w:color="auto"/>
              <w:right w:val="single" w:sz="4" w:space="0" w:color="auto"/>
            </w:tcBorders>
            <w:vAlign w:val="center"/>
          </w:tcPr>
          <w:p w14:paraId="4586AA41" w14:textId="77777777" w:rsidR="006F0590" w:rsidRDefault="006F0590">
            <w:pPr>
              <w:jc w:val="center"/>
              <w:rPr>
                <w:rFonts w:ascii="宋体" w:hAnsi="宋体" w:cs="宋体"/>
                <w:sz w:val="24"/>
              </w:rPr>
            </w:pPr>
          </w:p>
        </w:tc>
        <w:tc>
          <w:tcPr>
            <w:tcW w:w="1859" w:type="dxa"/>
            <w:vMerge/>
            <w:tcBorders>
              <w:left w:val="single" w:sz="4" w:space="0" w:color="auto"/>
              <w:right w:val="single" w:sz="4" w:space="0" w:color="auto"/>
            </w:tcBorders>
            <w:vAlign w:val="center"/>
          </w:tcPr>
          <w:p w14:paraId="5A3E5973" w14:textId="77777777" w:rsidR="006F0590" w:rsidRDefault="006F0590">
            <w:pPr>
              <w:jc w:val="center"/>
              <w:rPr>
                <w:rFonts w:ascii="宋体" w:hAnsi="宋体" w:cs="宋体"/>
                <w:sz w:val="24"/>
              </w:rPr>
            </w:pPr>
          </w:p>
        </w:tc>
        <w:tc>
          <w:tcPr>
            <w:tcW w:w="2218" w:type="dxa"/>
            <w:vMerge/>
            <w:tcBorders>
              <w:left w:val="single" w:sz="4" w:space="0" w:color="auto"/>
              <w:right w:val="single" w:sz="4" w:space="0" w:color="auto"/>
            </w:tcBorders>
            <w:vAlign w:val="center"/>
          </w:tcPr>
          <w:p w14:paraId="24FA88D0" w14:textId="77777777" w:rsidR="006F0590" w:rsidRDefault="006F0590">
            <w:pPr>
              <w:jc w:val="center"/>
              <w:rPr>
                <w:rFonts w:ascii="宋体" w:hAnsi="宋体" w:cs="宋体"/>
                <w:sz w:val="24"/>
              </w:rPr>
            </w:pPr>
          </w:p>
        </w:tc>
      </w:tr>
      <w:tr w:rsidR="006F0590" w14:paraId="7360F652" w14:textId="77777777">
        <w:trPr>
          <w:cantSplit/>
          <w:jc w:val="center"/>
        </w:trPr>
        <w:tc>
          <w:tcPr>
            <w:tcW w:w="1089" w:type="dxa"/>
            <w:vMerge/>
            <w:tcBorders>
              <w:top w:val="single" w:sz="4" w:space="0" w:color="auto"/>
              <w:left w:val="single" w:sz="4" w:space="0" w:color="auto"/>
              <w:bottom w:val="single" w:sz="4" w:space="0" w:color="auto"/>
              <w:right w:val="single" w:sz="4" w:space="0" w:color="auto"/>
            </w:tcBorders>
            <w:vAlign w:val="center"/>
          </w:tcPr>
          <w:p w14:paraId="79E39ADD" w14:textId="77777777" w:rsidR="006F0590" w:rsidRDefault="006F0590">
            <w:pPr>
              <w:jc w:val="center"/>
              <w:rPr>
                <w:rFonts w:ascii="宋体" w:hAnsi="宋体" w:cs="宋体"/>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2BB90267" w14:textId="77777777" w:rsidR="006F0590" w:rsidRDefault="000D0DA9">
            <w:pPr>
              <w:jc w:val="center"/>
              <w:rPr>
                <w:rFonts w:ascii="宋体" w:hAnsi="宋体" w:cs="宋体"/>
                <w:sz w:val="24"/>
              </w:rPr>
            </w:pPr>
            <w:r>
              <w:rPr>
                <w:rFonts w:ascii="宋体" w:hAnsi="宋体" w:cs="宋体"/>
                <w:sz w:val="24"/>
              </w:rPr>
              <w:t>6至12个月</w:t>
            </w:r>
          </w:p>
        </w:tc>
        <w:tc>
          <w:tcPr>
            <w:tcW w:w="1686" w:type="dxa"/>
            <w:vMerge/>
            <w:tcBorders>
              <w:top w:val="single" w:sz="4" w:space="0" w:color="auto"/>
              <w:left w:val="single" w:sz="4" w:space="0" w:color="auto"/>
              <w:bottom w:val="single" w:sz="4" w:space="0" w:color="auto"/>
              <w:right w:val="single" w:sz="4" w:space="0" w:color="auto"/>
            </w:tcBorders>
            <w:vAlign w:val="center"/>
          </w:tcPr>
          <w:p w14:paraId="739DF578" w14:textId="77777777" w:rsidR="006F0590" w:rsidRDefault="006F0590">
            <w:pPr>
              <w:jc w:val="center"/>
              <w:rPr>
                <w:rFonts w:ascii="宋体" w:hAnsi="宋体" w:cs="宋体"/>
                <w:sz w:val="24"/>
              </w:rPr>
            </w:pPr>
          </w:p>
        </w:tc>
        <w:tc>
          <w:tcPr>
            <w:tcW w:w="1859" w:type="dxa"/>
            <w:vMerge/>
            <w:tcBorders>
              <w:left w:val="single" w:sz="4" w:space="0" w:color="auto"/>
              <w:right w:val="single" w:sz="4" w:space="0" w:color="auto"/>
            </w:tcBorders>
            <w:vAlign w:val="center"/>
          </w:tcPr>
          <w:p w14:paraId="0DDEE473" w14:textId="77777777" w:rsidR="006F0590" w:rsidRDefault="006F0590">
            <w:pPr>
              <w:jc w:val="center"/>
              <w:rPr>
                <w:rFonts w:ascii="宋体" w:hAnsi="宋体" w:cs="宋体"/>
                <w:sz w:val="24"/>
              </w:rPr>
            </w:pPr>
          </w:p>
        </w:tc>
        <w:tc>
          <w:tcPr>
            <w:tcW w:w="2218" w:type="dxa"/>
            <w:vMerge/>
            <w:tcBorders>
              <w:left w:val="single" w:sz="4" w:space="0" w:color="auto"/>
              <w:right w:val="single" w:sz="4" w:space="0" w:color="auto"/>
            </w:tcBorders>
            <w:vAlign w:val="center"/>
          </w:tcPr>
          <w:p w14:paraId="3AEEB9F6" w14:textId="77777777" w:rsidR="006F0590" w:rsidRDefault="006F0590">
            <w:pPr>
              <w:jc w:val="center"/>
              <w:rPr>
                <w:rFonts w:ascii="宋体" w:hAnsi="宋体" w:cs="宋体"/>
                <w:sz w:val="24"/>
              </w:rPr>
            </w:pPr>
          </w:p>
        </w:tc>
      </w:tr>
      <w:tr w:rsidR="006F0590" w14:paraId="125055A5" w14:textId="77777777">
        <w:trPr>
          <w:cantSplit/>
          <w:jc w:val="center"/>
        </w:trPr>
        <w:tc>
          <w:tcPr>
            <w:tcW w:w="1089" w:type="dxa"/>
            <w:vMerge w:val="restart"/>
            <w:tcBorders>
              <w:top w:val="single" w:sz="4" w:space="0" w:color="auto"/>
              <w:left w:val="single" w:sz="4" w:space="0" w:color="auto"/>
              <w:right w:val="single" w:sz="4" w:space="0" w:color="auto"/>
            </w:tcBorders>
            <w:vAlign w:val="center"/>
          </w:tcPr>
          <w:p w14:paraId="69D68D77" w14:textId="77777777" w:rsidR="006F0590" w:rsidRDefault="000D0DA9">
            <w:pPr>
              <w:jc w:val="center"/>
              <w:rPr>
                <w:rFonts w:ascii="宋体" w:hAnsi="宋体" w:cs="宋体"/>
                <w:sz w:val="24"/>
              </w:rPr>
            </w:pPr>
            <w:r>
              <w:rPr>
                <w:rFonts w:ascii="宋体" w:hAnsi="宋体" w:cs="宋体"/>
                <w:sz w:val="24"/>
              </w:rPr>
              <w:t>2区</w:t>
            </w:r>
          </w:p>
        </w:tc>
        <w:tc>
          <w:tcPr>
            <w:tcW w:w="2236" w:type="dxa"/>
            <w:tcBorders>
              <w:top w:val="single" w:sz="4" w:space="0" w:color="auto"/>
              <w:left w:val="single" w:sz="4" w:space="0" w:color="auto"/>
              <w:bottom w:val="single" w:sz="4" w:space="0" w:color="auto"/>
              <w:right w:val="single" w:sz="4" w:space="0" w:color="auto"/>
            </w:tcBorders>
            <w:vAlign w:val="center"/>
          </w:tcPr>
          <w:p w14:paraId="66FDFACD" w14:textId="77777777" w:rsidR="006F0590" w:rsidRDefault="000D0DA9">
            <w:pPr>
              <w:jc w:val="center"/>
              <w:rPr>
                <w:rFonts w:ascii="宋体" w:hAnsi="宋体" w:cs="宋体"/>
                <w:sz w:val="24"/>
              </w:rPr>
            </w:pPr>
            <w:r>
              <w:rPr>
                <w:rFonts w:ascii="宋体" w:hAnsi="宋体" w:cs="宋体"/>
                <w:sz w:val="24"/>
              </w:rPr>
              <w:t>1至2年</w:t>
            </w:r>
          </w:p>
        </w:tc>
        <w:tc>
          <w:tcPr>
            <w:tcW w:w="1686" w:type="dxa"/>
            <w:vMerge w:val="restart"/>
            <w:tcBorders>
              <w:top w:val="single" w:sz="4" w:space="0" w:color="auto"/>
              <w:left w:val="single" w:sz="4" w:space="0" w:color="auto"/>
              <w:right w:val="single" w:sz="4" w:space="0" w:color="auto"/>
            </w:tcBorders>
            <w:vAlign w:val="center"/>
          </w:tcPr>
          <w:p w14:paraId="388B6BE1" w14:textId="77777777" w:rsidR="006F0590" w:rsidRDefault="000D0DA9">
            <w:pPr>
              <w:jc w:val="center"/>
              <w:rPr>
                <w:rFonts w:ascii="宋体" w:hAnsi="宋体" w:cs="宋体"/>
                <w:sz w:val="24"/>
              </w:rPr>
            </w:pPr>
            <w:r>
              <w:rPr>
                <w:rFonts w:ascii="宋体" w:hAnsi="宋体" w:cs="宋体"/>
                <w:sz w:val="24"/>
              </w:rPr>
              <w:t>30％</w:t>
            </w:r>
          </w:p>
        </w:tc>
        <w:tc>
          <w:tcPr>
            <w:tcW w:w="1859" w:type="dxa"/>
            <w:vMerge/>
            <w:tcBorders>
              <w:left w:val="single" w:sz="4" w:space="0" w:color="auto"/>
              <w:right w:val="single" w:sz="4" w:space="0" w:color="auto"/>
            </w:tcBorders>
            <w:vAlign w:val="center"/>
          </w:tcPr>
          <w:p w14:paraId="57B675AC" w14:textId="77777777" w:rsidR="006F0590" w:rsidRDefault="006F0590">
            <w:pPr>
              <w:jc w:val="center"/>
              <w:rPr>
                <w:rFonts w:ascii="宋体" w:hAnsi="宋体" w:cs="宋体"/>
                <w:sz w:val="24"/>
              </w:rPr>
            </w:pPr>
          </w:p>
        </w:tc>
        <w:tc>
          <w:tcPr>
            <w:tcW w:w="2218" w:type="dxa"/>
            <w:vMerge/>
            <w:tcBorders>
              <w:left w:val="single" w:sz="4" w:space="0" w:color="auto"/>
              <w:right w:val="single" w:sz="4" w:space="0" w:color="auto"/>
            </w:tcBorders>
            <w:vAlign w:val="center"/>
          </w:tcPr>
          <w:p w14:paraId="0DCD26A6" w14:textId="77777777" w:rsidR="006F0590" w:rsidRDefault="006F0590">
            <w:pPr>
              <w:jc w:val="center"/>
              <w:rPr>
                <w:rFonts w:ascii="宋体" w:hAnsi="宋体" w:cs="宋体"/>
                <w:sz w:val="24"/>
              </w:rPr>
            </w:pPr>
          </w:p>
        </w:tc>
      </w:tr>
      <w:tr w:rsidR="006F0590" w14:paraId="0EE57BC2" w14:textId="77777777">
        <w:trPr>
          <w:cantSplit/>
          <w:jc w:val="center"/>
        </w:trPr>
        <w:tc>
          <w:tcPr>
            <w:tcW w:w="1089" w:type="dxa"/>
            <w:vMerge/>
            <w:tcBorders>
              <w:left w:val="single" w:sz="4" w:space="0" w:color="auto"/>
              <w:right w:val="single" w:sz="4" w:space="0" w:color="auto"/>
            </w:tcBorders>
            <w:vAlign w:val="center"/>
          </w:tcPr>
          <w:p w14:paraId="2EF25C48" w14:textId="77777777" w:rsidR="006F0590" w:rsidRDefault="006F0590">
            <w:pPr>
              <w:jc w:val="center"/>
              <w:rPr>
                <w:rFonts w:ascii="宋体" w:hAnsi="宋体" w:cs="宋体"/>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22CAF89F" w14:textId="77777777" w:rsidR="006F0590" w:rsidRDefault="000D0DA9">
            <w:pPr>
              <w:jc w:val="center"/>
              <w:rPr>
                <w:rFonts w:ascii="宋体" w:hAnsi="宋体" w:cs="宋体"/>
                <w:sz w:val="24"/>
              </w:rPr>
            </w:pPr>
            <w:r>
              <w:rPr>
                <w:rFonts w:ascii="宋体" w:hAnsi="宋体" w:cs="宋体"/>
                <w:sz w:val="24"/>
              </w:rPr>
              <w:t>2至3年</w:t>
            </w:r>
          </w:p>
        </w:tc>
        <w:tc>
          <w:tcPr>
            <w:tcW w:w="1686" w:type="dxa"/>
            <w:vMerge/>
            <w:tcBorders>
              <w:left w:val="single" w:sz="4" w:space="0" w:color="auto"/>
              <w:right w:val="single" w:sz="4" w:space="0" w:color="auto"/>
            </w:tcBorders>
            <w:vAlign w:val="center"/>
          </w:tcPr>
          <w:p w14:paraId="5FB0A3A8" w14:textId="77777777" w:rsidR="006F0590" w:rsidRDefault="006F0590">
            <w:pPr>
              <w:jc w:val="center"/>
              <w:rPr>
                <w:rFonts w:ascii="宋体" w:hAnsi="宋体" w:cs="宋体"/>
                <w:sz w:val="24"/>
              </w:rPr>
            </w:pPr>
          </w:p>
        </w:tc>
        <w:tc>
          <w:tcPr>
            <w:tcW w:w="1859" w:type="dxa"/>
            <w:vMerge/>
            <w:tcBorders>
              <w:left w:val="single" w:sz="4" w:space="0" w:color="auto"/>
              <w:right w:val="single" w:sz="4" w:space="0" w:color="auto"/>
            </w:tcBorders>
            <w:vAlign w:val="center"/>
          </w:tcPr>
          <w:p w14:paraId="16835134" w14:textId="77777777" w:rsidR="006F0590" w:rsidRDefault="006F0590">
            <w:pPr>
              <w:jc w:val="center"/>
              <w:rPr>
                <w:rFonts w:ascii="宋体" w:hAnsi="宋体" w:cs="宋体"/>
                <w:sz w:val="24"/>
              </w:rPr>
            </w:pPr>
          </w:p>
        </w:tc>
        <w:tc>
          <w:tcPr>
            <w:tcW w:w="2218" w:type="dxa"/>
            <w:vMerge/>
            <w:tcBorders>
              <w:left w:val="single" w:sz="4" w:space="0" w:color="auto"/>
              <w:right w:val="single" w:sz="4" w:space="0" w:color="auto"/>
            </w:tcBorders>
            <w:vAlign w:val="center"/>
          </w:tcPr>
          <w:p w14:paraId="46CF0451" w14:textId="77777777" w:rsidR="006F0590" w:rsidRDefault="006F0590">
            <w:pPr>
              <w:jc w:val="center"/>
              <w:rPr>
                <w:rFonts w:ascii="宋体" w:hAnsi="宋体" w:cs="宋体"/>
                <w:sz w:val="24"/>
              </w:rPr>
            </w:pPr>
          </w:p>
        </w:tc>
      </w:tr>
      <w:tr w:rsidR="006F0590" w14:paraId="63EF6D82" w14:textId="77777777">
        <w:trPr>
          <w:cantSplit/>
          <w:trHeight w:val="591"/>
          <w:jc w:val="center"/>
        </w:trPr>
        <w:tc>
          <w:tcPr>
            <w:tcW w:w="1089" w:type="dxa"/>
            <w:vMerge/>
            <w:tcBorders>
              <w:left w:val="single" w:sz="4" w:space="0" w:color="auto"/>
              <w:right w:val="single" w:sz="4" w:space="0" w:color="auto"/>
            </w:tcBorders>
            <w:vAlign w:val="center"/>
          </w:tcPr>
          <w:p w14:paraId="14C97D46" w14:textId="77777777" w:rsidR="006F0590" w:rsidRDefault="006F0590">
            <w:pPr>
              <w:jc w:val="center"/>
              <w:rPr>
                <w:rFonts w:ascii="宋体" w:hAnsi="宋体" w:cs="宋体"/>
                <w:sz w:val="24"/>
              </w:rPr>
            </w:pPr>
          </w:p>
        </w:tc>
        <w:tc>
          <w:tcPr>
            <w:tcW w:w="2236" w:type="dxa"/>
            <w:tcBorders>
              <w:top w:val="single" w:sz="4" w:space="0" w:color="auto"/>
              <w:left w:val="single" w:sz="4" w:space="0" w:color="auto"/>
              <w:right w:val="single" w:sz="4" w:space="0" w:color="auto"/>
            </w:tcBorders>
            <w:vAlign w:val="center"/>
          </w:tcPr>
          <w:p w14:paraId="10D797F6" w14:textId="77777777" w:rsidR="006F0590" w:rsidRDefault="000D0DA9">
            <w:pPr>
              <w:jc w:val="center"/>
              <w:rPr>
                <w:rFonts w:ascii="宋体" w:hAnsi="宋体" w:cs="宋体"/>
                <w:sz w:val="24"/>
              </w:rPr>
            </w:pPr>
            <w:r>
              <w:rPr>
                <w:rFonts w:ascii="宋体" w:hAnsi="宋体" w:cs="宋体"/>
                <w:sz w:val="24"/>
              </w:rPr>
              <w:t>3至4年</w:t>
            </w:r>
          </w:p>
        </w:tc>
        <w:tc>
          <w:tcPr>
            <w:tcW w:w="1686" w:type="dxa"/>
            <w:vMerge/>
            <w:tcBorders>
              <w:left w:val="single" w:sz="4" w:space="0" w:color="auto"/>
              <w:right w:val="single" w:sz="4" w:space="0" w:color="auto"/>
            </w:tcBorders>
            <w:vAlign w:val="center"/>
          </w:tcPr>
          <w:p w14:paraId="39ED6E51" w14:textId="77777777" w:rsidR="006F0590" w:rsidRDefault="006F0590">
            <w:pPr>
              <w:jc w:val="center"/>
              <w:rPr>
                <w:rFonts w:ascii="宋体" w:hAnsi="宋体" w:cs="宋体"/>
                <w:sz w:val="24"/>
              </w:rPr>
            </w:pPr>
          </w:p>
        </w:tc>
        <w:tc>
          <w:tcPr>
            <w:tcW w:w="1859" w:type="dxa"/>
            <w:vMerge/>
            <w:tcBorders>
              <w:left w:val="single" w:sz="4" w:space="0" w:color="auto"/>
              <w:right w:val="single" w:sz="4" w:space="0" w:color="auto"/>
            </w:tcBorders>
            <w:vAlign w:val="center"/>
          </w:tcPr>
          <w:p w14:paraId="64ADEADF" w14:textId="77777777" w:rsidR="006F0590" w:rsidRDefault="006F0590">
            <w:pPr>
              <w:jc w:val="center"/>
              <w:rPr>
                <w:rFonts w:ascii="宋体" w:hAnsi="宋体" w:cs="宋体"/>
                <w:sz w:val="24"/>
              </w:rPr>
            </w:pPr>
          </w:p>
        </w:tc>
        <w:tc>
          <w:tcPr>
            <w:tcW w:w="2218" w:type="dxa"/>
            <w:vMerge/>
            <w:tcBorders>
              <w:left w:val="single" w:sz="4" w:space="0" w:color="auto"/>
              <w:right w:val="single" w:sz="4" w:space="0" w:color="auto"/>
            </w:tcBorders>
            <w:vAlign w:val="center"/>
          </w:tcPr>
          <w:p w14:paraId="7F1857DB" w14:textId="77777777" w:rsidR="006F0590" w:rsidRDefault="006F0590">
            <w:pPr>
              <w:jc w:val="center"/>
              <w:rPr>
                <w:rFonts w:ascii="宋体" w:hAnsi="宋体" w:cs="宋体"/>
                <w:sz w:val="24"/>
              </w:rPr>
            </w:pPr>
          </w:p>
        </w:tc>
      </w:tr>
      <w:tr w:rsidR="006F0590" w14:paraId="7317DBBD" w14:textId="77777777">
        <w:trPr>
          <w:cantSplit/>
          <w:trHeight w:val="233"/>
          <w:jc w:val="center"/>
        </w:trPr>
        <w:tc>
          <w:tcPr>
            <w:tcW w:w="1089" w:type="dxa"/>
            <w:vMerge w:val="restart"/>
            <w:tcBorders>
              <w:top w:val="single" w:sz="4" w:space="0" w:color="auto"/>
              <w:left w:val="single" w:sz="4" w:space="0" w:color="auto"/>
              <w:right w:val="single" w:sz="4" w:space="0" w:color="auto"/>
            </w:tcBorders>
            <w:vAlign w:val="center"/>
          </w:tcPr>
          <w:p w14:paraId="7349054A" w14:textId="77777777" w:rsidR="006F0590" w:rsidRDefault="000D0DA9">
            <w:pPr>
              <w:jc w:val="center"/>
              <w:rPr>
                <w:rFonts w:ascii="宋体" w:hAnsi="宋体" w:cs="宋体"/>
                <w:sz w:val="24"/>
              </w:rPr>
            </w:pPr>
            <w:r>
              <w:rPr>
                <w:rFonts w:ascii="宋体" w:hAnsi="宋体" w:cs="宋体"/>
                <w:sz w:val="24"/>
              </w:rPr>
              <w:t>3区</w:t>
            </w:r>
          </w:p>
        </w:tc>
        <w:tc>
          <w:tcPr>
            <w:tcW w:w="2236" w:type="dxa"/>
            <w:tcBorders>
              <w:top w:val="single" w:sz="4" w:space="0" w:color="auto"/>
              <w:left w:val="single" w:sz="4" w:space="0" w:color="auto"/>
              <w:bottom w:val="single" w:sz="4" w:space="0" w:color="auto"/>
              <w:right w:val="single" w:sz="4" w:space="0" w:color="auto"/>
            </w:tcBorders>
            <w:vAlign w:val="center"/>
          </w:tcPr>
          <w:p w14:paraId="535CEBC1" w14:textId="77777777" w:rsidR="006F0590" w:rsidRDefault="000D0DA9">
            <w:pPr>
              <w:jc w:val="center"/>
              <w:rPr>
                <w:rFonts w:ascii="宋体" w:hAnsi="宋体" w:cs="宋体"/>
                <w:sz w:val="24"/>
              </w:rPr>
            </w:pPr>
            <w:r>
              <w:rPr>
                <w:rFonts w:ascii="宋体" w:hAnsi="宋体" w:cs="宋体"/>
                <w:sz w:val="24"/>
              </w:rPr>
              <w:t>4至5年</w:t>
            </w:r>
          </w:p>
        </w:tc>
        <w:tc>
          <w:tcPr>
            <w:tcW w:w="1686" w:type="dxa"/>
            <w:vMerge w:val="restart"/>
            <w:tcBorders>
              <w:top w:val="single" w:sz="4" w:space="0" w:color="auto"/>
              <w:left w:val="single" w:sz="4" w:space="0" w:color="auto"/>
              <w:right w:val="single" w:sz="4" w:space="0" w:color="auto"/>
            </w:tcBorders>
            <w:vAlign w:val="center"/>
          </w:tcPr>
          <w:p w14:paraId="2ECD3F54" w14:textId="77777777" w:rsidR="006F0590" w:rsidRDefault="000D0DA9">
            <w:pPr>
              <w:jc w:val="center"/>
              <w:rPr>
                <w:rFonts w:ascii="宋体" w:hAnsi="宋体" w:cs="宋体"/>
                <w:sz w:val="24"/>
              </w:rPr>
            </w:pPr>
            <w:r>
              <w:rPr>
                <w:rFonts w:ascii="宋体" w:hAnsi="宋体" w:cs="宋体"/>
                <w:sz w:val="24"/>
              </w:rPr>
              <w:t>30％</w:t>
            </w:r>
          </w:p>
        </w:tc>
        <w:tc>
          <w:tcPr>
            <w:tcW w:w="1859" w:type="dxa"/>
            <w:vMerge/>
            <w:tcBorders>
              <w:left w:val="single" w:sz="4" w:space="0" w:color="auto"/>
              <w:right w:val="single" w:sz="4" w:space="0" w:color="auto"/>
            </w:tcBorders>
            <w:vAlign w:val="center"/>
          </w:tcPr>
          <w:p w14:paraId="130348CB" w14:textId="77777777" w:rsidR="006F0590" w:rsidRDefault="006F0590">
            <w:pPr>
              <w:jc w:val="center"/>
              <w:rPr>
                <w:rFonts w:ascii="宋体" w:hAnsi="宋体" w:cs="宋体"/>
                <w:sz w:val="24"/>
              </w:rPr>
            </w:pPr>
          </w:p>
        </w:tc>
        <w:tc>
          <w:tcPr>
            <w:tcW w:w="2218" w:type="dxa"/>
            <w:vMerge/>
            <w:tcBorders>
              <w:left w:val="single" w:sz="4" w:space="0" w:color="auto"/>
              <w:right w:val="single" w:sz="4" w:space="0" w:color="auto"/>
            </w:tcBorders>
            <w:vAlign w:val="center"/>
          </w:tcPr>
          <w:p w14:paraId="000C4DF8" w14:textId="77777777" w:rsidR="006F0590" w:rsidRDefault="006F0590">
            <w:pPr>
              <w:jc w:val="center"/>
              <w:rPr>
                <w:rFonts w:ascii="宋体" w:hAnsi="宋体" w:cs="宋体"/>
                <w:sz w:val="24"/>
              </w:rPr>
            </w:pPr>
          </w:p>
        </w:tc>
      </w:tr>
      <w:tr w:rsidR="006F0590" w14:paraId="747C15C7" w14:textId="77777777">
        <w:trPr>
          <w:cantSplit/>
          <w:trHeight w:val="232"/>
          <w:jc w:val="center"/>
        </w:trPr>
        <w:tc>
          <w:tcPr>
            <w:tcW w:w="1089" w:type="dxa"/>
            <w:vMerge/>
            <w:tcBorders>
              <w:left w:val="single" w:sz="4" w:space="0" w:color="auto"/>
              <w:right w:val="single" w:sz="4" w:space="0" w:color="auto"/>
            </w:tcBorders>
            <w:vAlign w:val="center"/>
          </w:tcPr>
          <w:p w14:paraId="7555C7C9" w14:textId="77777777" w:rsidR="006F0590" w:rsidRDefault="006F0590">
            <w:pPr>
              <w:jc w:val="center"/>
              <w:rPr>
                <w:rFonts w:ascii="宋体" w:hAnsi="宋体" w:cs="宋体"/>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76DE67AC" w14:textId="77777777" w:rsidR="006F0590" w:rsidRDefault="000D0DA9">
            <w:pPr>
              <w:jc w:val="center"/>
              <w:rPr>
                <w:rFonts w:ascii="宋体" w:hAnsi="宋体" w:cs="宋体"/>
                <w:sz w:val="24"/>
              </w:rPr>
            </w:pPr>
            <w:r>
              <w:rPr>
                <w:rFonts w:ascii="宋体" w:hAnsi="宋体" w:cs="宋体"/>
                <w:sz w:val="24"/>
              </w:rPr>
              <w:t>5到7年</w:t>
            </w:r>
          </w:p>
        </w:tc>
        <w:tc>
          <w:tcPr>
            <w:tcW w:w="1686" w:type="dxa"/>
            <w:vMerge/>
            <w:tcBorders>
              <w:left w:val="single" w:sz="4" w:space="0" w:color="auto"/>
              <w:right w:val="single" w:sz="4" w:space="0" w:color="auto"/>
            </w:tcBorders>
            <w:vAlign w:val="center"/>
          </w:tcPr>
          <w:p w14:paraId="4D3C22DA" w14:textId="77777777" w:rsidR="006F0590" w:rsidRDefault="006F0590">
            <w:pPr>
              <w:jc w:val="center"/>
              <w:rPr>
                <w:rFonts w:ascii="宋体" w:hAnsi="宋体" w:cs="宋体"/>
                <w:sz w:val="24"/>
              </w:rPr>
            </w:pPr>
          </w:p>
        </w:tc>
        <w:tc>
          <w:tcPr>
            <w:tcW w:w="1859" w:type="dxa"/>
            <w:vMerge/>
            <w:tcBorders>
              <w:left w:val="single" w:sz="4" w:space="0" w:color="auto"/>
              <w:right w:val="single" w:sz="4" w:space="0" w:color="auto"/>
            </w:tcBorders>
            <w:vAlign w:val="center"/>
          </w:tcPr>
          <w:p w14:paraId="1711D84B" w14:textId="77777777" w:rsidR="006F0590" w:rsidRDefault="006F0590">
            <w:pPr>
              <w:jc w:val="center"/>
              <w:rPr>
                <w:rFonts w:ascii="宋体" w:hAnsi="宋体" w:cs="宋体"/>
                <w:sz w:val="24"/>
              </w:rPr>
            </w:pPr>
          </w:p>
        </w:tc>
        <w:tc>
          <w:tcPr>
            <w:tcW w:w="2218" w:type="dxa"/>
            <w:vMerge/>
            <w:tcBorders>
              <w:left w:val="single" w:sz="4" w:space="0" w:color="auto"/>
              <w:right w:val="single" w:sz="4" w:space="0" w:color="auto"/>
            </w:tcBorders>
            <w:vAlign w:val="center"/>
          </w:tcPr>
          <w:p w14:paraId="22A37995" w14:textId="77777777" w:rsidR="006F0590" w:rsidRDefault="006F0590">
            <w:pPr>
              <w:jc w:val="center"/>
              <w:rPr>
                <w:rFonts w:ascii="宋体" w:hAnsi="宋体" w:cs="宋体"/>
                <w:sz w:val="24"/>
              </w:rPr>
            </w:pPr>
          </w:p>
        </w:tc>
      </w:tr>
      <w:tr w:rsidR="006F0590" w14:paraId="22318605" w14:textId="77777777">
        <w:trPr>
          <w:cantSplit/>
          <w:jc w:val="center"/>
        </w:trPr>
        <w:tc>
          <w:tcPr>
            <w:tcW w:w="1089" w:type="dxa"/>
            <w:vMerge/>
            <w:tcBorders>
              <w:left w:val="single" w:sz="4" w:space="0" w:color="auto"/>
              <w:right w:val="single" w:sz="4" w:space="0" w:color="auto"/>
            </w:tcBorders>
            <w:vAlign w:val="center"/>
          </w:tcPr>
          <w:p w14:paraId="575C6C87" w14:textId="77777777" w:rsidR="006F0590" w:rsidRDefault="006F0590">
            <w:pPr>
              <w:jc w:val="center"/>
              <w:rPr>
                <w:rFonts w:ascii="宋体" w:hAnsi="宋体" w:cs="宋体"/>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0FBC4CFD" w14:textId="77777777" w:rsidR="006F0590" w:rsidRDefault="000D0DA9">
            <w:pPr>
              <w:jc w:val="center"/>
              <w:rPr>
                <w:rFonts w:ascii="宋体" w:hAnsi="宋体" w:cs="宋体"/>
                <w:sz w:val="24"/>
              </w:rPr>
            </w:pPr>
            <w:r>
              <w:rPr>
                <w:rFonts w:ascii="宋体" w:hAnsi="宋体" w:cs="宋体"/>
                <w:sz w:val="24"/>
              </w:rPr>
              <w:t>7至10年</w:t>
            </w:r>
          </w:p>
        </w:tc>
        <w:tc>
          <w:tcPr>
            <w:tcW w:w="1686" w:type="dxa"/>
            <w:vMerge/>
            <w:tcBorders>
              <w:left w:val="single" w:sz="4" w:space="0" w:color="auto"/>
              <w:right w:val="single" w:sz="4" w:space="0" w:color="auto"/>
            </w:tcBorders>
            <w:vAlign w:val="center"/>
          </w:tcPr>
          <w:p w14:paraId="45E24680" w14:textId="77777777" w:rsidR="006F0590" w:rsidRDefault="006F0590">
            <w:pPr>
              <w:jc w:val="center"/>
              <w:rPr>
                <w:rFonts w:ascii="宋体" w:hAnsi="宋体" w:cs="宋体"/>
                <w:sz w:val="24"/>
              </w:rPr>
            </w:pPr>
          </w:p>
        </w:tc>
        <w:tc>
          <w:tcPr>
            <w:tcW w:w="1859" w:type="dxa"/>
            <w:vMerge/>
            <w:tcBorders>
              <w:left w:val="single" w:sz="4" w:space="0" w:color="auto"/>
              <w:right w:val="single" w:sz="4" w:space="0" w:color="auto"/>
            </w:tcBorders>
            <w:vAlign w:val="center"/>
          </w:tcPr>
          <w:p w14:paraId="14B76602" w14:textId="77777777" w:rsidR="006F0590" w:rsidRDefault="006F0590">
            <w:pPr>
              <w:jc w:val="center"/>
              <w:rPr>
                <w:rFonts w:ascii="宋体" w:hAnsi="宋体" w:cs="宋体"/>
                <w:sz w:val="24"/>
              </w:rPr>
            </w:pPr>
          </w:p>
        </w:tc>
        <w:tc>
          <w:tcPr>
            <w:tcW w:w="2218" w:type="dxa"/>
            <w:vMerge/>
            <w:tcBorders>
              <w:left w:val="single" w:sz="4" w:space="0" w:color="auto"/>
              <w:right w:val="single" w:sz="4" w:space="0" w:color="auto"/>
            </w:tcBorders>
            <w:vAlign w:val="center"/>
          </w:tcPr>
          <w:p w14:paraId="5AD11578" w14:textId="77777777" w:rsidR="006F0590" w:rsidRDefault="006F0590">
            <w:pPr>
              <w:jc w:val="center"/>
              <w:rPr>
                <w:rFonts w:ascii="宋体" w:hAnsi="宋体" w:cs="宋体"/>
                <w:sz w:val="24"/>
              </w:rPr>
            </w:pPr>
          </w:p>
        </w:tc>
      </w:tr>
      <w:tr w:rsidR="006F0590" w14:paraId="2F68E937" w14:textId="77777777">
        <w:trPr>
          <w:cantSplit/>
          <w:jc w:val="center"/>
        </w:trPr>
        <w:tc>
          <w:tcPr>
            <w:tcW w:w="1089" w:type="dxa"/>
            <w:vMerge/>
            <w:tcBorders>
              <w:left w:val="single" w:sz="4" w:space="0" w:color="auto"/>
              <w:right w:val="single" w:sz="4" w:space="0" w:color="auto"/>
            </w:tcBorders>
            <w:vAlign w:val="center"/>
          </w:tcPr>
          <w:p w14:paraId="60EF3718" w14:textId="77777777" w:rsidR="006F0590" w:rsidRDefault="006F0590">
            <w:pPr>
              <w:jc w:val="center"/>
              <w:rPr>
                <w:rFonts w:ascii="宋体" w:hAnsi="宋体" w:cs="宋体"/>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54218648" w14:textId="77777777" w:rsidR="006F0590" w:rsidRDefault="000D0DA9">
            <w:pPr>
              <w:jc w:val="center"/>
              <w:rPr>
                <w:rFonts w:ascii="宋体" w:hAnsi="宋体" w:cs="宋体"/>
                <w:sz w:val="24"/>
              </w:rPr>
            </w:pPr>
            <w:r>
              <w:rPr>
                <w:rFonts w:ascii="宋体" w:hAnsi="宋体" w:cs="宋体"/>
                <w:sz w:val="24"/>
              </w:rPr>
              <w:t>10至15年</w:t>
            </w:r>
          </w:p>
        </w:tc>
        <w:tc>
          <w:tcPr>
            <w:tcW w:w="1686" w:type="dxa"/>
            <w:vMerge/>
            <w:tcBorders>
              <w:left w:val="single" w:sz="4" w:space="0" w:color="auto"/>
              <w:right w:val="single" w:sz="4" w:space="0" w:color="auto"/>
            </w:tcBorders>
            <w:vAlign w:val="center"/>
          </w:tcPr>
          <w:p w14:paraId="25296DF2" w14:textId="77777777" w:rsidR="006F0590" w:rsidRDefault="006F0590">
            <w:pPr>
              <w:jc w:val="center"/>
              <w:rPr>
                <w:rFonts w:ascii="宋体" w:hAnsi="宋体" w:cs="宋体"/>
                <w:sz w:val="24"/>
              </w:rPr>
            </w:pPr>
          </w:p>
        </w:tc>
        <w:tc>
          <w:tcPr>
            <w:tcW w:w="1859" w:type="dxa"/>
            <w:vMerge/>
            <w:tcBorders>
              <w:left w:val="single" w:sz="4" w:space="0" w:color="auto"/>
              <w:right w:val="single" w:sz="4" w:space="0" w:color="auto"/>
            </w:tcBorders>
            <w:vAlign w:val="center"/>
          </w:tcPr>
          <w:p w14:paraId="416BA512" w14:textId="77777777" w:rsidR="006F0590" w:rsidRDefault="006F0590">
            <w:pPr>
              <w:jc w:val="center"/>
              <w:rPr>
                <w:rFonts w:ascii="宋体" w:hAnsi="宋体" w:cs="宋体"/>
                <w:sz w:val="24"/>
              </w:rPr>
            </w:pPr>
          </w:p>
        </w:tc>
        <w:tc>
          <w:tcPr>
            <w:tcW w:w="2218" w:type="dxa"/>
            <w:vMerge/>
            <w:tcBorders>
              <w:left w:val="single" w:sz="4" w:space="0" w:color="auto"/>
              <w:right w:val="single" w:sz="4" w:space="0" w:color="auto"/>
            </w:tcBorders>
            <w:vAlign w:val="center"/>
          </w:tcPr>
          <w:p w14:paraId="59A87A4E" w14:textId="77777777" w:rsidR="006F0590" w:rsidRDefault="006F0590">
            <w:pPr>
              <w:jc w:val="center"/>
              <w:rPr>
                <w:rFonts w:ascii="宋体" w:hAnsi="宋体" w:cs="宋体"/>
                <w:sz w:val="24"/>
              </w:rPr>
            </w:pPr>
          </w:p>
        </w:tc>
      </w:tr>
      <w:tr w:rsidR="006F0590" w14:paraId="6770CA84" w14:textId="77777777">
        <w:trPr>
          <w:cantSplit/>
          <w:jc w:val="center"/>
        </w:trPr>
        <w:tc>
          <w:tcPr>
            <w:tcW w:w="1089" w:type="dxa"/>
            <w:vMerge/>
            <w:tcBorders>
              <w:left w:val="single" w:sz="4" w:space="0" w:color="auto"/>
              <w:right w:val="single" w:sz="4" w:space="0" w:color="auto"/>
            </w:tcBorders>
            <w:vAlign w:val="center"/>
          </w:tcPr>
          <w:p w14:paraId="66C7A584" w14:textId="77777777" w:rsidR="006F0590" w:rsidRDefault="006F0590">
            <w:pPr>
              <w:jc w:val="center"/>
              <w:rPr>
                <w:rFonts w:ascii="宋体" w:hAnsi="宋体" w:cs="宋体"/>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14259E2F" w14:textId="77777777" w:rsidR="006F0590" w:rsidRDefault="000D0DA9">
            <w:pPr>
              <w:jc w:val="center"/>
              <w:rPr>
                <w:rFonts w:ascii="宋体" w:hAnsi="宋体" w:cs="宋体"/>
                <w:sz w:val="24"/>
              </w:rPr>
            </w:pPr>
            <w:r>
              <w:rPr>
                <w:rFonts w:ascii="宋体" w:hAnsi="宋体" w:cs="宋体"/>
                <w:sz w:val="24"/>
              </w:rPr>
              <w:t>15至20年</w:t>
            </w:r>
          </w:p>
        </w:tc>
        <w:tc>
          <w:tcPr>
            <w:tcW w:w="1686" w:type="dxa"/>
            <w:vMerge/>
            <w:tcBorders>
              <w:left w:val="single" w:sz="4" w:space="0" w:color="auto"/>
              <w:right w:val="single" w:sz="4" w:space="0" w:color="auto"/>
            </w:tcBorders>
            <w:vAlign w:val="center"/>
          </w:tcPr>
          <w:p w14:paraId="023233C4" w14:textId="77777777" w:rsidR="006F0590" w:rsidRDefault="006F0590">
            <w:pPr>
              <w:jc w:val="center"/>
              <w:rPr>
                <w:rFonts w:ascii="宋体" w:hAnsi="宋体" w:cs="宋体"/>
                <w:sz w:val="24"/>
              </w:rPr>
            </w:pPr>
          </w:p>
        </w:tc>
        <w:tc>
          <w:tcPr>
            <w:tcW w:w="1859" w:type="dxa"/>
            <w:vMerge/>
            <w:tcBorders>
              <w:left w:val="single" w:sz="4" w:space="0" w:color="auto"/>
              <w:right w:val="single" w:sz="4" w:space="0" w:color="auto"/>
            </w:tcBorders>
            <w:vAlign w:val="center"/>
          </w:tcPr>
          <w:p w14:paraId="5AF88CA4" w14:textId="77777777" w:rsidR="006F0590" w:rsidRDefault="006F0590">
            <w:pPr>
              <w:jc w:val="center"/>
              <w:rPr>
                <w:rFonts w:ascii="宋体" w:hAnsi="宋体" w:cs="宋体"/>
                <w:sz w:val="24"/>
              </w:rPr>
            </w:pPr>
          </w:p>
        </w:tc>
        <w:tc>
          <w:tcPr>
            <w:tcW w:w="2218" w:type="dxa"/>
            <w:vMerge/>
            <w:tcBorders>
              <w:left w:val="single" w:sz="4" w:space="0" w:color="auto"/>
              <w:right w:val="single" w:sz="4" w:space="0" w:color="auto"/>
            </w:tcBorders>
            <w:vAlign w:val="center"/>
          </w:tcPr>
          <w:p w14:paraId="0C385064" w14:textId="77777777" w:rsidR="006F0590" w:rsidRDefault="006F0590">
            <w:pPr>
              <w:jc w:val="center"/>
              <w:rPr>
                <w:rFonts w:ascii="宋体" w:hAnsi="宋体" w:cs="宋体"/>
                <w:sz w:val="24"/>
              </w:rPr>
            </w:pPr>
          </w:p>
        </w:tc>
      </w:tr>
      <w:tr w:rsidR="006F0590" w14:paraId="704A7973" w14:textId="77777777">
        <w:trPr>
          <w:cantSplit/>
          <w:jc w:val="center"/>
        </w:trPr>
        <w:tc>
          <w:tcPr>
            <w:tcW w:w="1089" w:type="dxa"/>
            <w:vMerge/>
            <w:tcBorders>
              <w:left w:val="single" w:sz="4" w:space="0" w:color="auto"/>
              <w:right w:val="single" w:sz="4" w:space="0" w:color="auto"/>
            </w:tcBorders>
            <w:vAlign w:val="center"/>
          </w:tcPr>
          <w:p w14:paraId="6D162103" w14:textId="77777777" w:rsidR="006F0590" w:rsidRDefault="006F0590">
            <w:pPr>
              <w:jc w:val="center"/>
              <w:rPr>
                <w:rFonts w:ascii="宋体" w:hAnsi="宋体" w:cs="宋体"/>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04FD61FC" w14:textId="77777777" w:rsidR="006F0590" w:rsidRDefault="000D0DA9">
            <w:pPr>
              <w:jc w:val="center"/>
              <w:rPr>
                <w:rFonts w:ascii="宋体" w:hAnsi="宋体" w:cs="宋体"/>
                <w:sz w:val="24"/>
              </w:rPr>
            </w:pPr>
            <w:r>
              <w:rPr>
                <w:rFonts w:ascii="宋体" w:hAnsi="宋体" w:cs="宋体"/>
                <w:sz w:val="24"/>
              </w:rPr>
              <w:t>20年以上</w:t>
            </w:r>
          </w:p>
        </w:tc>
        <w:tc>
          <w:tcPr>
            <w:tcW w:w="1686" w:type="dxa"/>
            <w:vMerge/>
            <w:tcBorders>
              <w:left w:val="single" w:sz="4" w:space="0" w:color="auto"/>
              <w:right w:val="single" w:sz="4" w:space="0" w:color="auto"/>
            </w:tcBorders>
            <w:vAlign w:val="center"/>
          </w:tcPr>
          <w:p w14:paraId="07A4B79F" w14:textId="77777777" w:rsidR="006F0590" w:rsidRDefault="006F0590">
            <w:pPr>
              <w:jc w:val="center"/>
              <w:rPr>
                <w:rFonts w:ascii="宋体" w:hAnsi="宋体" w:cs="宋体"/>
                <w:sz w:val="24"/>
              </w:rPr>
            </w:pPr>
          </w:p>
        </w:tc>
        <w:tc>
          <w:tcPr>
            <w:tcW w:w="1859" w:type="dxa"/>
            <w:vMerge/>
            <w:tcBorders>
              <w:left w:val="single" w:sz="4" w:space="0" w:color="auto"/>
              <w:right w:val="single" w:sz="4" w:space="0" w:color="auto"/>
            </w:tcBorders>
            <w:vAlign w:val="center"/>
          </w:tcPr>
          <w:p w14:paraId="552515A5" w14:textId="77777777" w:rsidR="006F0590" w:rsidRDefault="006F0590">
            <w:pPr>
              <w:jc w:val="center"/>
              <w:rPr>
                <w:rFonts w:ascii="宋体" w:hAnsi="宋体" w:cs="宋体"/>
                <w:sz w:val="24"/>
              </w:rPr>
            </w:pPr>
          </w:p>
        </w:tc>
        <w:tc>
          <w:tcPr>
            <w:tcW w:w="2218" w:type="dxa"/>
            <w:vMerge/>
            <w:tcBorders>
              <w:left w:val="single" w:sz="4" w:space="0" w:color="auto"/>
              <w:right w:val="single" w:sz="4" w:space="0" w:color="auto"/>
            </w:tcBorders>
            <w:vAlign w:val="center"/>
          </w:tcPr>
          <w:p w14:paraId="0ABC2E57" w14:textId="77777777" w:rsidR="006F0590" w:rsidRDefault="006F0590">
            <w:pPr>
              <w:jc w:val="center"/>
              <w:rPr>
                <w:rFonts w:ascii="宋体" w:hAnsi="宋体" w:cs="宋体"/>
                <w:sz w:val="24"/>
              </w:rPr>
            </w:pPr>
          </w:p>
        </w:tc>
      </w:tr>
    </w:tbl>
    <w:p w14:paraId="7422134E" w14:textId="3B1F7FF1" w:rsidR="006F0590" w:rsidRDefault="000D0DA9">
      <w:pPr>
        <w:spacing w:line="480" w:lineRule="exact"/>
        <w:rPr>
          <w:rFonts w:ascii="仿宋_GB2312" w:eastAsia="仿宋_GB2312"/>
          <w:sz w:val="30"/>
          <w:szCs w:val="30"/>
        </w:rPr>
      </w:pPr>
      <w:r>
        <w:rPr>
          <w:rFonts w:ascii="仿宋_GB2312" w:eastAsia="仿宋_GB2312" w:hint="eastAsia"/>
          <w:sz w:val="28"/>
          <w:szCs w:val="28"/>
        </w:rPr>
        <w:t xml:space="preserve">   </w:t>
      </w:r>
      <w:r>
        <w:rPr>
          <w:rFonts w:ascii="仿宋_GB2312" w:eastAsia="仿宋_GB2312" w:hint="eastAsia"/>
          <w:sz w:val="30"/>
          <w:szCs w:val="30"/>
        </w:rPr>
        <w:t xml:space="preserve"> </w:t>
      </w:r>
      <w:r>
        <w:rPr>
          <w:rFonts w:ascii="仿宋_GB2312" w:eastAsia="仿宋_GB2312"/>
          <w:sz w:val="30"/>
          <w:szCs w:val="30"/>
        </w:rPr>
        <w:t>4</w:t>
      </w:r>
      <w:r>
        <w:rPr>
          <w:rFonts w:ascii="仿宋_GB2312" w:eastAsia="仿宋_GB2312" w:hint="eastAsia"/>
          <w:sz w:val="30"/>
          <w:szCs w:val="30"/>
        </w:rPr>
        <w:t>.经国家金融监督管理总局</w:t>
      </w:r>
      <w:r w:rsidR="002D1597">
        <w:rPr>
          <w:rFonts w:ascii="仿宋_GB2312" w:eastAsia="仿宋_GB2312" w:hint="eastAsia"/>
          <w:sz w:val="30"/>
          <w:szCs w:val="30"/>
        </w:rPr>
        <w:t>或其派出机构</w:t>
      </w:r>
      <w:r>
        <w:rPr>
          <w:rFonts w:ascii="仿宋_GB2312" w:eastAsia="仿宋_GB2312" w:hint="eastAsia"/>
          <w:sz w:val="30"/>
          <w:szCs w:val="30"/>
        </w:rPr>
        <w:t>认可，商业银行可以使用久期法计量一般市场风险资本要求。一旦选择使用久期法，应持续使用该方法，如变更方法</w:t>
      </w:r>
      <w:r w:rsidR="0017692B">
        <w:rPr>
          <w:rFonts w:ascii="仿宋_GB2312" w:eastAsia="仿宋_GB2312" w:hint="eastAsia"/>
          <w:sz w:val="30"/>
          <w:szCs w:val="30"/>
        </w:rPr>
        <w:t>应</w:t>
      </w:r>
      <w:r>
        <w:rPr>
          <w:rFonts w:ascii="仿宋_GB2312" w:eastAsia="仿宋_GB2312" w:hint="eastAsia"/>
          <w:sz w:val="30"/>
          <w:szCs w:val="30"/>
        </w:rPr>
        <w:t>经国家金融监督管理总局</w:t>
      </w:r>
      <w:r w:rsidR="002D1597">
        <w:rPr>
          <w:rFonts w:ascii="仿宋_GB2312" w:eastAsia="仿宋_GB2312" w:hint="eastAsia"/>
          <w:sz w:val="30"/>
          <w:szCs w:val="30"/>
        </w:rPr>
        <w:t>或其派出机构</w:t>
      </w:r>
      <w:r>
        <w:rPr>
          <w:rFonts w:ascii="仿宋_GB2312" w:eastAsia="仿宋_GB2312" w:hint="eastAsia"/>
          <w:sz w:val="30"/>
          <w:szCs w:val="30"/>
        </w:rPr>
        <w:t>认可。久期法具体计算步骤如下：</w:t>
      </w:r>
    </w:p>
    <w:p w14:paraId="5A4B9224"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（1）在表4中找出每笔头寸期限对应的收益率变化，逐笔计算该收益率变化下的价格敏感性。</w:t>
      </w:r>
    </w:p>
    <w:p w14:paraId="20326431"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（2）将价格敏感性对应到表4的15级久期时段中。</w:t>
      </w:r>
    </w:p>
    <w:p w14:paraId="483A81F8"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（3）每个时段中的多头和空头头寸分别计提5%的垂直资本要求，以覆盖基差风险。</w:t>
      </w:r>
    </w:p>
    <w:p w14:paraId="0798DC97" w14:textId="427C24A8"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（4）按照到期日法的要求，</w:t>
      </w:r>
      <w:r w:rsidR="00372714">
        <w:rPr>
          <w:rFonts w:ascii="仿宋_GB2312" w:eastAsia="仿宋_GB2312" w:hint="eastAsia"/>
          <w:sz w:val="30"/>
          <w:szCs w:val="30"/>
        </w:rPr>
        <w:t>计量</w:t>
      </w:r>
      <w:r>
        <w:rPr>
          <w:rFonts w:ascii="仿宋_GB2312" w:eastAsia="仿宋_GB2312" w:hint="eastAsia"/>
          <w:sz w:val="30"/>
          <w:szCs w:val="30"/>
        </w:rPr>
        <w:t>横向资本要求。</w:t>
      </w:r>
    </w:p>
    <w:p w14:paraId="0E534A00" w14:textId="2F971CAB" w:rsidR="006F0590" w:rsidRDefault="000D0DA9">
      <w:pPr>
        <w:spacing w:line="480" w:lineRule="exact"/>
        <w:ind w:firstLineChars="200" w:firstLine="600"/>
        <w:rPr>
          <w:rFonts w:ascii="仿宋_GB2312" w:eastAsia="仿宋_GB2312"/>
          <w:bCs/>
          <w:sz w:val="28"/>
          <w:szCs w:val="28"/>
        </w:rPr>
      </w:pPr>
      <w:r>
        <w:rPr>
          <w:rFonts w:ascii="仿宋_GB2312" w:eastAsia="仿宋_GB2312" w:hint="eastAsia"/>
          <w:bCs/>
          <w:sz w:val="30"/>
          <w:szCs w:val="30"/>
        </w:rPr>
        <w:t>（5）按照到期日法的</w:t>
      </w:r>
      <w:r w:rsidR="002D1597">
        <w:rPr>
          <w:rFonts w:ascii="仿宋_GB2312" w:eastAsia="仿宋_GB2312" w:hint="eastAsia"/>
          <w:bCs/>
          <w:sz w:val="30"/>
          <w:szCs w:val="30"/>
        </w:rPr>
        <w:t>要求</w:t>
      </w:r>
      <w:r>
        <w:rPr>
          <w:rFonts w:ascii="仿宋_GB2312" w:eastAsia="仿宋_GB2312" w:hint="eastAsia"/>
          <w:bCs/>
          <w:sz w:val="30"/>
          <w:szCs w:val="30"/>
        </w:rPr>
        <w:t>，将各区加权头寸净额进行抵消，得出整个交易账簿的加权净多头或净空头所对应的资本要求。</w:t>
      </w:r>
    </w:p>
    <w:p w14:paraId="2C4A9DDF" w14:textId="77777777" w:rsidR="006F0590" w:rsidRDefault="000D0DA9">
      <w:pPr>
        <w:snapToGrid w:val="0"/>
        <w:spacing w:line="480" w:lineRule="exact"/>
        <w:jc w:val="center"/>
        <w:rPr>
          <w:rFonts w:ascii="楷体_GB2312" w:eastAsia="楷体_GB2312"/>
          <w:b/>
          <w:sz w:val="28"/>
          <w:szCs w:val="28"/>
        </w:rPr>
      </w:pPr>
      <w:r>
        <w:rPr>
          <w:rFonts w:ascii="楷体_GB2312" w:eastAsia="楷体_GB2312" w:hint="eastAsia"/>
          <w:b/>
          <w:sz w:val="28"/>
          <w:szCs w:val="28"/>
        </w:rPr>
        <w:t>表4 久期法计算表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2095"/>
        <w:gridCol w:w="2015"/>
        <w:gridCol w:w="2065"/>
      </w:tblGrid>
      <w:tr w:rsidR="006F0590" w14:paraId="63D73478" w14:textId="77777777">
        <w:trPr>
          <w:trHeight w:val="525"/>
          <w:tblHeader/>
          <w:jc w:val="center"/>
        </w:trPr>
        <w:tc>
          <w:tcPr>
            <w:tcW w:w="1925" w:type="dxa"/>
            <w:vAlign w:val="center"/>
          </w:tcPr>
          <w:p w14:paraId="45972C82" w14:textId="77777777" w:rsidR="006F0590" w:rsidRDefault="006F0590">
            <w:pPr>
              <w:widowControl/>
              <w:jc w:val="center"/>
              <w:rPr>
                <w:rFonts w:ascii="宋体" w:hAnsi="宋体"/>
                <w:b/>
                <w:sz w:val="24"/>
              </w:rPr>
            </w:pPr>
          </w:p>
        </w:tc>
        <w:tc>
          <w:tcPr>
            <w:tcW w:w="2095" w:type="dxa"/>
            <w:vAlign w:val="center"/>
          </w:tcPr>
          <w:p w14:paraId="53934F6B" w14:textId="77777777" w:rsidR="006F0590" w:rsidRDefault="000D0DA9">
            <w:pPr>
              <w:widowControl/>
              <w:jc w:val="center"/>
              <w:rPr>
                <w:rFonts w:ascii="宋体" w:hAnsi="宋体"/>
                <w:b/>
                <w:sz w:val="24"/>
              </w:rPr>
            </w:pPr>
            <w:r>
              <w:rPr>
                <w:rFonts w:ascii="宋体" w:hAnsi="宋体" w:hint="eastAsia"/>
                <w:b/>
                <w:sz w:val="24"/>
              </w:rPr>
              <w:t>假定收益率变化</w:t>
            </w:r>
          </w:p>
        </w:tc>
        <w:tc>
          <w:tcPr>
            <w:tcW w:w="2015" w:type="dxa"/>
            <w:vAlign w:val="center"/>
          </w:tcPr>
          <w:p w14:paraId="555A8DB1" w14:textId="77777777" w:rsidR="006F0590" w:rsidRDefault="006F0590">
            <w:pPr>
              <w:widowControl/>
              <w:jc w:val="center"/>
              <w:rPr>
                <w:rFonts w:ascii="宋体" w:hAnsi="宋体"/>
                <w:b/>
                <w:sz w:val="24"/>
              </w:rPr>
            </w:pPr>
          </w:p>
        </w:tc>
        <w:tc>
          <w:tcPr>
            <w:tcW w:w="2065" w:type="dxa"/>
            <w:vAlign w:val="center"/>
          </w:tcPr>
          <w:p w14:paraId="0DFAA6A1" w14:textId="77777777" w:rsidR="006F0590" w:rsidRDefault="000D0DA9">
            <w:pPr>
              <w:widowControl/>
              <w:jc w:val="center"/>
              <w:rPr>
                <w:rFonts w:ascii="宋体" w:hAnsi="宋体"/>
                <w:b/>
                <w:sz w:val="24"/>
              </w:rPr>
            </w:pPr>
            <w:r>
              <w:rPr>
                <w:rFonts w:ascii="宋体" w:hAnsi="宋体" w:hint="eastAsia"/>
                <w:b/>
                <w:sz w:val="24"/>
              </w:rPr>
              <w:t>假定收益率变化</w:t>
            </w:r>
          </w:p>
        </w:tc>
      </w:tr>
      <w:tr w:rsidR="006F0590" w14:paraId="70045890" w14:textId="77777777">
        <w:trPr>
          <w:trHeight w:val="270"/>
          <w:jc w:val="center"/>
        </w:trPr>
        <w:tc>
          <w:tcPr>
            <w:tcW w:w="1925" w:type="dxa"/>
            <w:vAlign w:val="center"/>
          </w:tcPr>
          <w:p w14:paraId="5204D275" w14:textId="77777777" w:rsidR="006F0590" w:rsidRDefault="000D0DA9">
            <w:pPr>
              <w:widowControl/>
              <w:jc w:val="center"/>
              <w:rPr>
                <w:rFonts w:ascii="宋体" w:hAnsi="宋体"/>
                <w:sz w:val="24"/>
              </w:rPr>
            </w:pPr>
            <w:r>
              <w:rPr>
                <w:rFonts w:ascii="宋体" w:hAnsi="宋体"/>
                <w:sz w:val="24"/>
              </w:rPr>
              <w:t>1区</w:t>
            </w:r>
          </w:p>
        </w:tc>
        <w:tc>
          <w:tcPr>
            <w:tcW w:w="2095" w:type="dxa"/>
            <w:vAlign w:val="center"/>
          </w:tcPr>
          <w:p w14:paraId="1E0ABDCE" w14:textId="77777777" w:rsidR="006F0590" w:rsidRDefault="006F0590">
            <w:pPr>
              <w:widowControl/>
              <w:jc w:val="center"/>
              <w:rPr>
                <w:rFonts w:ascii="宋体" w:hAnsi="宋体"/>
                <w:sz w:val="24"/>
              </w:rPr>
            </w:pPr>
          </w:p>
        </w:tc>
        <w:tc>
          <w:tcPr>
            <w:tcW w:w="2015" w:type="dxa"/>
            <w:vAlign w:val="center"/>
          </w:tcPr>
          <w:p w14:paraId="1D203F83" w14:textId="77777777" w:rsidR="006F0590" w:rsidRDefault="000D0DA9">
            <w:pPr>
              <w:widowControl/>
              <w:jc w:val="center"/>
              <w:rPr>
                <w:rFonts w:ascii="宋体" w:hAnsi="宋体"/>
                <w:sz w:val="24"/>
              </w:rPr>
            </w:pPr>
            <w:r>
              <w:rPr>
                <w:rFonts w:ascii="宋体" w:hAnsi="宋体"/>
                <w:sz w:val="24"/>
              </w:rPr>
              <w:t>3区</w:t>
            </w:r>
          </w:p>
        </w:tc>
        <w:tc>
          <w:tcPr>
            <w:tcW w:w="2065" w:type="dxa"/>
            <w:vAlign w:val="center"/>
          </w:tcPr>
          <w:p w14:paraId="7931367D" w14:textId="77777777" w:rsidR="006F0590" w:rsidRDefault="006F0590">
            <w:pPr>
              <w:widowControl/>
              <w:jc w:val="center"/>
              <w:rPr>
                <w:rFonts w:ascii="宋体" w:hAnsi="宋体"/>
                <w:sz w:val="24"/>
              </w:rPr>
            </w:pPr>
          </w:p>
        </w:tc>
      </w:tr>
      <w:tr w:rsidR="006F0590" w14:paraId="0B842021" w14:textId="77777777">
        <w:trPr>
          <w:trHeight w:val="270"/>
          <w:jc w:val="center"/>
        </w:trPr>
        <w:tc>
          <w:tcPr>
            <w:tcW w:w="1925" w:type="dxa"/>
            <w:vAlign w:val="center"/>
          </w:tcPr>
          <w:p w14:paraId="71C66F97" w14:textId="77777777" w:rsidR="006F0590" w:rsidRDefault="000D0DA9">
            <w:pPr>
              <w:widowControl/>
              <w:jc w:val="center"/>
              <w:rPr>
                <w:rFonts w:ascii="宋体" w:hAnsi="宋体"/>
                <w:sz w:val="24"/>
              </w:rPr>
            </w:pPr>
            <w:r>
              <w:rPr>
                <w:rFonts w:ascii="宋体" w:hAnsi="宋体"/>
                <w:sz w:val="24"/>
              </w:rPr>
              <w:t>0-1月</w:t>
            </w:r>
          </w:p>
        </w:tc>
        <w:tc>
          <w:tcPr>
            <w:tcW w:w="2095" w:type="dxa"/>
            <w:vAlign w:val="center"/>
          </w:tcPr>
          <w:p w14:paraId="64B3E79E" w14:textId="77777777" w:rsidR="006F0590" w:rsidRDefault="000D0DA9">
            <w:pPr>
              <w:widowControl/>
              <w:jc w:val="center"/>
              <w:rPr>
                <w:rFonts w:ascii="宋体" w:hAnsi="宋体"/>
                <w:sz w:val="24"/>
              </w:rPr>
            </w:pPr>
            <w:r>
              <w:rPr>
                <w:rFonts w:ascii="宋体" w:hAnsi="宋体"/>
                <w:sz w:val="24"/>
              </w:rPr>
              <w:t>1.00</w:t>
            </w:r>
          </w:p>
        </w:tc>
        <w:tc>
          <w:tcPr>
            <w:tcW w:w="2015" w:type="dxa"/>
            <w:vAlign w:val="center"/>
          </w:tcPr>
          <w:p w14:paraId="64C98AAA" w14:textId="77777777" w:rsidR="006F0590" w:rsidRDefault="000D0DA9">
            <w:pPr>
              <w:widowControl/>
              <w:jc w:val="center"/>
              <w:rPr>
                <w:rFonts w:ascii="宋体" w:hAnsi="宋体"/>
                <w:sz w:val="24"/>
              </w:rPr>
            </w:pPr>
            <w:r>
              <w:rPr>
                <w:rFonts w:ascii="宋体" w:hAnsi="宋体"/>
                <w:sz w:val="24"/>
              </w:rPr>
              <w:t>3.6-4.3年</w:t>
            </w:r>
          </w:p>
        </w:tc>
        <w:tc>
          <w:tcPr>
            <w:tcW w:w="2065" w:type="dxa"/>
            <w:vAlign w:val="center"/>
          </w:tcPr>
          <w:p w14:paraId="22D975AD" w14:textId="77777777" w:rsidR="006F0590" w:rsidRDefault="000D0DA9">
            <w:pPr>
              <w:widowControl/>
              <w:jc w:val="center"/>
              <w:rPr>
                <w:rFonts w:ascii="宋体" w:hAnsi="宋体"/>
                <w:sz w:val="24"/>
              </w:rPr>
            </w:pPr>
            <w:r>
              <w:rPr>
                <w:rFonts w:ascii="宋体" w:hAnsi="宋体"/>
                <w:sz w:val="24"/>
              </w:rPr>
              <w:t>0.75</w:t>
            </w:r>
          </w:p>
        </w:tc>
      </w:tr>
      <w:tr w:rsidR="006F0590" w14:paraId="422D946B" w14:textId="77777777">
        <w:trPr>
          <w:trHeight w:val="270"/>
          <w:jc w:val="center"/>
        </w:trPr>
        <w:tc>
          <w:tcPr>
            <w:tcW w:w="1925" w:type="dxa"/>
            <w:vAlign w:val="center"/>
          </w:tcPr>
          <w:p w14:paraId="66D140E4" w14:textId="77777777" w:rsidR="006F0590" w:rsidRDefault="000D0DA9">
            <w:pPr>
              <w:widowControl/>
              <w:jc w:val="center"/>
              <w:rPr>
                <w:rFonts w:ascii="宋体" w:hAnsi="宋体"/>
                <w:sz w:val="24"/>
              </w:rPr>
            </w:pPr>
            <w:r>
              <w:rPr>
                <w:rFonts w:ascii="宋体" w:hAnsi="宋体"/>
                <w:sz w:val="24"/>
              </w:rPr>
              <w:lastRenderedPageBreak/>
              <w:t>1-3月</w:t>
            </w:r>
          </w:p>
        </w:tc>
        <w:tc>
          <w:tcPr>
            <w:tcW w:w="2095" w:type="dxa"/>
            <w:vAlign w:val="center"/>
          </w:tcPr>
          <w:p w14:paraId="04B35FCC" w14:textId="77777777" w:rsidR="006F0590" w:rsidRDefault="000D0DA9">
            <w:pPr>
              <w:widowControl/>
              <w:jc w:val="center"/>
              <w:rPr>
                <w:rFonts w:ascii="宋体" w:hAnsi="宋体"/>
                <w:sz w:val="24"/>
              </w:rPr>
            </w:pPr>
            <w:r>
              <w:rPr>
                <w:rFonts w:ascii="宋体" w:hAnsi="宋体"/>
                <w:sz w:val="24"/>
              </w:rPr>
              <w:t>1.00</w:t>
            </w:r>
          </w:p>
        </w:tc>
        <w:tc>
          <w:tcPr>
            <w:tcW w:w="2015" w:type="dxa"/>
            <w:vAlign w:val="center"/>
          </w:tcPr>
          <w:p w14:paraId="706EB6F9" w14:textId="77777777" w:rsidR="006F0590" w:rsidRDefault="000D0DA9">
            <w:pPr>
              <w:widowControl/>
              <w:jc w:val="center"/>
              <w:rPr>
                <w:rFonts w:ascii="宋体" w:hAnsi="宋体"/>
                <w:sz w:val="24"/>
              </w:rPr>
            </w:pPr>
            <w:r>
              <w:rPr>
                <w:rFonts w:ascii="宋体" w:hAnsi="宋体"/>
                <w:sz w:val="24"/>
              </w:rPr>
              <w:t>4.3-5.7年</w:t>
            </w:r>
          </w:p>
        </w:tc>
        <w:tc>
          <w:tcPr>
            <w:tcW w:w="2065" w:type="dxa"/>
            <w:vAlign w:val="center"/>
          </w:tcPr>
          <w:p w14:paraId="626E728E" w14:textId="77777777" w:rsidR="006F0590" w:rsidRDefault="000D0DA9">
            <w:pPr>
              <w:widowControl/>
              <w:jc w:val="center"/>
              <w:rPr>
                <w:rFonts w:ascii="宋体" w:hAnsi="宋体"/>
                <w:sz w:val="24"/>
              </w:rPr>
            </w:pPr>
            <w:r>
              <w:rPr>
                <w:rFonts w:ascii="宋体" w:hAnsi="宋体"/>
                <w:sz w:val="24"/>
              </w:rPr>
              <w:t>0.7</w:t>
            </w:r>
          </w:p>
        </w:tc>
      </w:tr>
      <w:tr w:rsidR="006F0590" w14:paraId="74EF71AF" w14:textId="77777777">
        <w:trPr>
          <w:trHeight w:val="270"/>
          <w:jc w:val="center"/>
        </w:trPr>
        <w:tc>
          <w:tcPr>
            <w:tcW w:w="1925" w:type="dxa"/>
            <w:vAlign w:val="center"/>
          </w:tcPr>
          <w:p w14:paraId="69A396C0" w14:textId="77777777" w:rsidR="006F0590" w:rsidRDefault="000D0DA9">
            <w:pPr>
              <w:widowControl/>
              <w:jc w:val="center"/>
              <w:rPr>
                <w:rFonts w:ascii="宋体" w:hAnsi="宋体"/>
                <w:sz w:val="24"/>
              </w:rPr>
            </w:pPr>
            <w:r>
              <w:rPr>
                <w:rFonts w:ascii="宋体" w:hAnsi="宋体"/>
                <w:sz w:val="24"/>
              </w:rPr>
              <w:t>3-6月</w:t>
            </w:r>
          </w:p>
        </w:tc>
        <w:tc>
          <w:tcPr>
            <w:tcW w:w="2095" w:type="dxa"/>
            <w:vAlign w:val="center"/>
          </w:tcPr>
          <w:p w14:paraId="43DB2156" w14:textId="77777777" w:rsidR="006F0590" w:rsidRDefault="000D0DA9">
            <w:pPr>
              <w:widowControl/>
              <w:jc w:val="center"/>
              <w:rPr>
                <w:rFonts w:ascii="宋体" w:hAnsi="宋体"/>
                <w:sz w:val="24"/>
              </w:rPr>
            </w:pPr>
            <w:r>
              <w:rPr>
                <w:rFonts w:ascii="宋体" w:hAnsi="宋体"/>
                <w:sz w:val="24"/>
              </w:rPr>
              <w:t>1.00</w:t>
            </w:r>
          </w:p>
        </w:tc>
        <w:tc>
          <w:tcPr>
            <w:tcW w:w="2015" w:type="dxa"/>
            <w:vAlign w:val="center"/>
          </w:tcPr>
          <w:p w14:paraId="489AB510" w14:textId="77777777" w:rsidR="006F0590" w:rsidRDefault="000D0DA9">
            <w:pPr>
              <w:widowControl/>
              <w:jc w:val="center"/>
              <w:rPr>
                <w:rFonts w:ascii="宋体" w:hAnsi="宋体"/>
                <w:sz w:val="24"/>
              </w:rPr>
            </w:pPr>
            <w:r>
              <w:rPr>
                <w:rFonts w:ascii="宋体" w:hAnsi="宋体"/>
                <w:sz w:val="24"/>
              </w:rPr>
              <w:t>5.7-7.3年</w:t>
            </w:r>
          </w:p>
        </w:tc>
        <w:tc>
          <w:tcPr>
            <w:tcW w:w="2065" w:type="dxa"/>
            <w:vAlign w:val="center"/>
          </w:tcPr>
          <w:p w14:paraId="7220F1F6" w14:textId="77777777" w:rsidR="006F0590" w:rsidRDefault="000D0DA9">
            <w:pPr>
              <w:widowControl/>
              <w:jc w:val="center"/>
              <w:rPr>
                <w:rFonts w:ascii="宋体" w:hAnsi="宋体"/>
                <w:sz w:val="24"/>
              </w:rPr>
            </w:pPr>
            <w:r>
              <w:rPr>
                <w:rFonts w:ascii="宋体" w:hAnsi="宋体"/>
                <w:sz w:val="24"/>
              </w:rPr>
              <w:t>0.65</w:t>
            </w:r>
          </w:p>
        </w:tc>
      </w:tr>
      <w:tr w:rsidR="006F0590" w14:paraId="6101A94B" w14:textId="77777777">
        <w:trPr>
          <w:trHeight w:val="270"/>
          <w:jc w:val="center"/>
        </w:trPr>
        <w:tc>
          <w:tcPr>
            <w:tcW w:w="1925" w:type="dxa"/>
            <w:vAlign w:val="center"/>
          </w:tcPr>
          <w:p w14:paraId="20E94894" w14:textId="77777777" w:rsidR="006F0590" w:rsidRDefault="000D0DA9">
            <w:pPr>
              <w:widowControl/>
              <w:jc w:val="center"/>
              <w:rPr>
                <w:rFonts w:ascii="宋体" w:hAnsi="宋体"/>
                <w:sz w:val="24"/>
              </w:rPr>
            </w:pPr>
            <w:r>
              <w:rPr>
                <w:rFonts w:ascii="宋体" w:hAnsi="宋体"/>
                <w:sz w:val="24"/>
              </w:rPr>
              <w:t>6-12月</w:t>
            </w:r>
          </w:p>
        </w:tc>
        <w:tc>
          <w:tcPr>
            <w:tcW w:w="2095" w:type="dxa"/>
            <w:vAlign w:val="center"/>
          </w:tcPr>
          <w:p w14:paraId="30920EF0" w14:textId="77777777" w:rsidR="006F0590" w:rsidRDefault="000D0DA9">
            <w:pPr>
              <w:widowControl/>
              <w:jc w:val="center"/>
              <w:rPr>
                <w:rFonts w:ascii="宋体" w:hAnsi="宋体"/>
                <w:sz w:val="24"/>
              </w:rPr>
            </w:pPr>
            <w:r>
              <w:rPr>
                <w:rFonts w:ascii="宋体" w:hAnsi="宋体"/>
                <w:sz w:val="24"/>
              </w:rPr>
              <w:t>1.00</w:t>
            </w:r>
          </w:p>
        </w:tc>
        <w:tc>
          <w:tcPr>
            <w:tcW w:w="2015" w:type="dxa"/>
            <w:vAlign w:val="center"/>
          </w:tcPr>
          <w:p w14:paraId="6E53D75D" w14:textId="77777777" w:rsidR="006F0590" w:rsidRDefault="000D0DA9">
            <w:pPr>
              <w:widowControl/>
              <w:jc w:val="center"/>
              <w:rPr>
                <w:rFonts w:ascii="宋体" w:hAnsi="宋体"/>
                <w:sz w:val="24"/>
              </w:rPr>
            </w:pPr>
            <w:r>
              <w:rPr>
                <w:rFonts w:ascii="宋体" w:hAnsi="宋体"/>
                <w:sz w:val="24"/>
              </w:rPr>
              <w:t>7.3-9.3年</w:t>
            </w:r>
          </w:p>
        </w:tc>
        <w:tc>
          <w:tcPr>
            <w:tcW w:w="2065" w:type="dxa"/>
            <w:vAlign w:val="center"/>
          </w:tcPr>
          <w:p w14:paraId="217A043F" w14:textId="77777777" w:rsidR="006F0590" w:rsidRDefault="000D0DA9">
            <w:pPr>
              <w:widowControl/>
              <w:jc w:val="center"/>
              <w:rPr>
                <w:rFonts w:ascii="宋体" w:hAnsi="宋体"/>
                <w:sz w:val="24"/>
              </w:rPr>
            </w:pPr>
            <w:r>
              <w:rPr>
                <w:rFonts w:ascii="宋体" w:hAnsi="宋体"/>
                <w:sz w:val="24"/>
              </w:rPr>
              <w:t>0.6</w:t>
            </w:r>
          </w:p>
        </w:tc>
      </w:tr>
      <w:tr w:rsidR="006F0590" w14:paraId="6E375FF5" w14:textId="77777777">
        <w:trPr>
          <w:trHeight w:val="270"/>
          <w:jc w:val="center"/>
        </w:trPr>
        <w:tc>
          <w:tcPr>
            <w:tcW w:w="1925" w:type="dxa"/>
            <w:vAlign w:val="center"/>
          </w:tcPr>
          <w:p w14:paraId="17C89C3B" w14:textId="77777777" w:rsidR="006F0590" w:rsidRDefault="006F0590">
            <w:pPr>
              <w:widowControl/>
              <w:jc w:val="center"/>
              <w:rPr>
                <w:rFonts w:ascii="宋体" w:hAnsi="宋体"/>
                <w:sz w:val="24"/>
              </w:rPr>
            </w:pPr>
          </w:p>
        </w:tc>
        <w:tc>
          <w:tcPr>
            <w:tcW w:w="2095" w:type="dxa"/>
            <w:vAlign w:val="center"/>
          </w:tcPr>
          <w:p w14:paraId="061E5230" w14:textId="77777777" w:rsidR="006F0590" w:rsidRDefault="006F0590">
            <w:pPr>
              <w:widowControl/>
              <w:jc w:val="center"/>
              <w:rPr>
                <w:rFonts w:ascii="宋体" w:hAnsi="宋体"/>
                <w:sz w:val="24"/>
              </w:rPr>
            </w:pPr>
          </w:p>
        </w:tc>
        <w:tc>
          <w:tcPr>
            <w:tcW w:w="2015" w:type="dxa"/>
            <w:vAlign w:val="center"/>
          </w:tcPr>
          <w:p w14:paraId="5443AB3E" w14:textId="77777777" w:rsidR="006F0590" w:rsidRDefault="000D0DA9">
            <w:pPr>
              <w:widowControl/>
              <w:jc w:val="center"/>
              <w:rPr>
                <w:rFonts w:ascii="宋体" w:hAnsi="宋体"/>
                <w:sz w:val="24"/>
              </w:rPr>
            </w:pPr>
            <w:r>
              <w:rPr>
                <w:rFonts w:ascii="宋体" w:hAnsi="宋体"/>
                <w:sz w:val="24"/>
              </w:rPr>
              <w:t>9.3-10.6年</w:t>
            </w:r>
          </w:p>
        </w:tc>
        <w:tc>
          <w:tcPr>
            <w:tcW w:w="2065" w:type="dxa"/>
            <w:vAlign w:val="center"/>
          </w:tcPr>
          <w:p w14:paraId="430D3F04" w14:textId="77777777" w:rsidR="006F0590" w:rsidRDefault="000D0DA9">
            <w:pPr>
              <w:widowControl/>
              <w:jc w:val="center"/>
              <w:rPr>
                <w:rFonts w:ascii="宋体" w:hAnsi="宋体"/>
                <w:sz w:val="24"/>
              </w:rPr>
            </w:pPr>
            <w:r>
              <w:rPr>
                <w:rFonts w:ascii="宋体" w:hAnsi="宋体"/>
                <w:sz w:val="24"/>
              </w:rPr>
              <w:t>0.6</w:t>
            </w:r>
          </w:p>
        </w:tc>
      </w:tr>
      <w:tr w:rsidR="006F0590" w14:paraId="3AC3F393" w14:textId="77777777">
        <w:trPr>
          <w:trHeight w:val="270"/>
          <w:jc w:val="center"/>
        </w:trPr>
        <w:tc>
          <w:tcPr>
            <w:tcW w:w="1925" w:type="dxa"/>
            <w:vAlign w:val="center"/>
          </w:tcPr>
          <w:p w14:paraId="5D691C3C" w14:textId="77777777" w:rsidR="006F0590" w:rsidRDefault="000D0DA9">
            <w:pPr>
              <w:widowControl/>
              <w:jc w:val="center"/>
              <w:rPr>
                <w:rFonts w:ascii="宋体" w:hAnsi="宋体"/>
                <w:sz w:val="24"/>
              </w:rPr>
            </w:pPr>
            <w:r>
              <w:rPr>
                <w:rFonts w:ascii="宋体" w:hAnsi="宋体"/>
                <w:sz w:val="24"/>
              </w:rPr>
              <w:t>2区</w:t>
            </w:r>
          </w:p>
        </w:tc>
        <w:tc>
          <w:tcPr>
            <w:tcW w:w="2095" w:type="dxa"/>
            <w:vAlign w:val="center"/>
          </w:tcPr>
          <w:p w14:paraId="246D08BC" w14:textId="77777777" w:rsidR="006F0590" w:rsidRDefault="006F0590">
            <w:pPr>
              <w:widowControl/>
              <w:jc w:val="center"/>
              <w:rPr>
                <w:rFonts w:ascii="宋体" w:hAnsi="宋体"/>
                <w:sz w:val="24"/>
              </w:rPr>
            </w:pPr>
          </w:p>
        </w:tc>
        <w:tc>
          <w:tcPr>
            <w:tcW w:w="2015" w:type="dxa"/>
            <w:vAlign w:val="center"/>
          </w:tcPr>
          <w:p w14:paraId="05F4CD19" w14:textId="77777777" w:rsidR="006F0590" w:rsidRDefault="000D0DA9">
            <w:pPr>
              <w:widowControl/>
              <w:jc w:val="center"/>
              <w:rPr>
                <w:rFonts w:ascii="宋体" w:hAnsi="宋体"/>
                <w:sz w:val="24"/>
              </w:rPr>
            </w:pPr>
            <w:r>
              <w:rPr>
                <w:rFonts w:ascii="宋体" w:hAnsi="宋体"/>
                <w:sz w:val="24"/>
              </w:rPr>
              <w:t>10.6-12年</w:t>
            </w:r>
          </w:p>
        </w:tc>
        <w:tc>
          <w:tcPr>
            <w:tcW w:w="2065" w:type="dxa"/>
            <w:vAlign w:val="center"/>
          </w:tcPr>
          <w:p w14:paraId="1B6CDF6C" w14:textId="77777777" w:rsidR="006F0590" w:rsidRDefault="000D0DA9">
            <w:pPr>
              <w:widowControl/>
              <w:jc w:val="center"/>
              <w:rPr>
                <w:rFonts w:ascii="宋体" w:hAnsi="宋体"/>
                <w:sz w:val="24"/>
              </w:rPr>
            </w:pPr>
            <w:r>
              <w:rPr>
                <w:rFonts w:ascii="宋体" w:hAnsi="宋体"/>
                <w:sz w:val="24"/>
              </w:rPr>
              <w:t>0.6</w:t>
            </w:r>
          </w:p>
        </w:tc>
      </w:tr>
      <w:tr w:rsidR="006F0590" w14:paraId="4B03A030" w14:textId="77777777">
        <w:trPr>
          <w:trHeight w:val="270"/>
          <w:jc w:val="center"/>
        </w:trPr>
        <w:tc>
          <w:tcPr>
            <w:tcW w:w="1925" w:type="dxa"/>
            <w:vAlign w:val="center"/>
          </w:tcPr>
          <w:p w14:paraId="0A6410DE" w14:textId="77777777" w:rsidR="006F0590" w:rsidRDefault="000D0DA9">
            <w:pPr>
              <w:widowControl/>
              <w:jc w:val="center"/>
              <w:rPr>
                <w:rFonts w:ascii="宋体" w:hAnsi="宋体"/>
                <w:sz w:val="24"/>
              </w:rPr>
            </w:pPr>
            <w:r>
              <w:rPr>
                <w:rFonts w:ascii="宋体" w:hAnsi="宋体"/>
                <w:sz w:val="24"/>
              </w:rPr>
              <w:t>1-1.9年</w:t>
            </w:r>
          </w:p>
        </w:tc>
        <w:tc>
          <w:tcPr>
            <w:tcW w:w="2095" w:type="dxa"/>
            <w:vAlign w:val="center"/>
          </w:tcPr>
          <w:p w14:paraId="3BE7CC8C" w14:textId="77777777" w:rsidR="006F0590" w:rsidRDefault="000D0DA9">
            <w:pPr>
              <w:widowControl/>
              <w:jc w:val="center"/>
              <w:rPr>
                <w:rFonts w:ascii="宋体" w:hAnsi="宋体"/>
                <w:sz w:val="24"/>
              </w:rPr>
            </w:pPr>
            <w:r>
              <w:rPr>
                <w:rFonts w:ascii="宋体" w:hAnsi="宋体"/>
                <w:sz w:val="24"/>
              </w:rPr>
              <w:t>0.90</w:t>
            </w:r>
          </w:p>
        </w:tc>
        <w:tc>
          <w:tcPr>
            <w:tcW w:w="2015" w:type="dxa"/>
            <w:vAlign w:val="center"/>
          </w:tcPr>
          <w:p w14:paraId="469EDDAB" w14:textId="77777777" w:rsidR="006F0590" w:rsidRDefault="000D0DA9">
            <w:pPr>
              <w:widowControl/>
              <w:jc w:val="center"/>
              <w:rPr>
                <w:rFonts w:ascii="宋体" w:hAnsi="宋体"/>
                <w:sz w:val="24"/>
              </w:rPr>
            </w:pPr>
            <w:r>
              <w:rPr>
                <w:rFonts w:ascii="宋体" w:hAnsi="宋体"/>
                <w:sz w:val="24"/>
              </w:rPr>
              <w:t>12-20年</w:t>
            </w:r>
          </w:p>
        </w:tc>
        <w:tc>
          <w:tcPr>
            <w:tcW w:w="2065" w:type="dxa"/>
            <w:vAlign w:val="center"/>
          </w:tcPr>
          <w:p w14:paraId="57AAB58C" w14:textId="77777777" w:rsidR="006F0590" w:rsidRDefault="000D0DA9">
            <w:pPr>
              <w:widowControl/>
              <w:jc w:val="center"/>
              <w:rPr>
                <w:rFonts w:ascii="宋体" w:hAnsi="宋体"/>
                <w:sz w:val="24"/>
              </w:rPr>
            </w:pPr>
            <w:r>
              <w:rPr>
                <w:rFonts w:ascii="宋体" w:hAnsi="宋体"/>
                <w:sz w:val="24"/>
              </w:rPr>
              <w:t>0.6</w:t>
            </w:r>
          </w:p>
        </w:tc>
      </w:tr>
      <w:tr w:rsidR="006F0590" w14:paraId="3C33969F" w14:textId="77777777">
        <w:trPr>
          <w:trHeight w:val="270"/>
          <w:jc w:val="center"/>
        </w:trPr>
        <w:tc>
          <w:tcPr>
            <w:tcW w:w="1925" w:type="dxa"/>
            <w:tcBorders>
              <w:bottom w:val="single" w:sz="4" w:space="0" w:color="auto"/>
            </w:tcBorders>
            <w:vAlign w:val="center"/>
          </w:tcPr>
          <w:p w14:paraId="65253397" w14:textId="77777777" w:rsidR="006F0590" w:rsidRDefault="000D0DA9">
            <w:pPr>
              <w:widowControl/>
              <w:jc w:val="center"/>
              <w:rPr>
                <w:rFonts w:ascii="宋体" w:hAnsi="宋体"/>
                <w:sz w:val="24"/>
              </w:rPr>
            </w:pPr>
            <w:r>
              <w:rPr>
                <w:rFonts w:ascii="宋体" w:hAnsi="宋体"/>
                <w:sz w:val="24"/>
              </w:rPr>
              <w:t>1.9-2.8年</w:t>
            </w:r>
          </w:p>
        </w:tc>
        <w:tc>
          <w:tcPr>
            <w:tcW w:w="2095" w:type="dxa"/>
            <w:tcBorders>
              <w:bottom w:val="single" w:sz="4" w:space="0" w:color="auto"/>
            </w:tcBorders>
            <w:vAlign w:val="center"/>
          </w:tcPr>
          <w:p w14:paraId="5F39261C" w14:textId="77777777" w:rsidR="006F0590" w:rsidRDefault="000D0DA9">
            <w:pPr>
              <w:widowControl/>
              <w:jc w:val="center"/>
              <w:rPr>
                <w:rFonts w:ascii="宋体" w:hAnsi="宋体"/>
                <w:sz w:val="24"/>
              </w:rPr>
            </w:pPr>
            <w:r>
              <w:rPr>
                <w:rFonts w:ascii="宋体" w:hAnsi="宋体"/>
                <w:sz w:val="24"/>
              </w:rPr>
              <w:t>0.80</w:t>
            </w:r>
          </w:p>
        </w:tc>
        <w:tc>
          <w:tcPr>
            <w:tcW w:w="2015" w:type="dxa"/>
            <w:tcBorders>
              <w:bottom w:val="single" w:sz="4" w:space="0" w:color="auto"/>
            </w:tcBorders>
            <w:vAlign w:val="center"/>
          </w:tcPr>
          <w:p w14:paraId="2E77DC7C" w14:textId="77777777" w:rsidR="006F0590" w:rsidRDefault="000D0DA9">
            <w:pPr>
              <w:widowControl/>
              <w:jc w:val="center"/>
              <w:rPr>
                <w:rFonts w:ascii="宋体" w:hAnsi="宋体"/>
                <w:sz w:val="24"/>
              </w:rPr>
            </w:pPr>
            <w:r>
              <w:rPr>
                <w:rFonts w:ascii="宋体" w:hAnsi="宋体"/>
                <w:sz w:val="24"/>
              </w:rPr>
              <w:t>20年以上</w:t>
            </w:r>
          </w:p>
        </w:tc>
        <w:tc>
          <w:tcPr>
            <w:tcW w:w="2065" w:type="dxa"/>
            <w:tcBorders>
              <w:bottom w:val="single" w:sz="4" w:space="0" w:color="auto"/>
            </w:tcBorders>
            <w:vAlign w:val="center"/>
          </w:tcPr>
          <w:p w14:paraId="4752527E" w14:textId="77777777" w:rsidR="006F0590" w:rsidRDefault="000D0DA9">
            <w:pPr>
              <w:widowControl/>
              <w:jc w:val="center"/>
              <w:rPr>
                <w:rFonts w:ascii="宋体" w:hAnsi="宋体"/>
                <w:sz w:val="24"/>
              </w:rPr>
            </w:pPr>
            <w:r>
              <w:rPr>
                <w:rFonts w:ascii="宋体" w:hAnsi="宋体"/>
                <w:sz w:val="24"/>
              </w:rPr>
              <w:t>0.6</w:t>
            </w:r>
          </w:p>
        </w:tc>
      </w:tr>
      <w:tr w:rsidR="006F0590" w14:paraId="4F91471D" w14:textId="77777777">
        <w:trPr>
          <w:trHeight w:val="270"/>
          <w:jc w:val="center"/>
        </w:trPr>
        <w:tc>
          <w:tcPr>
            <w:tcW w:w="1925" w:type="dxa"/>
            <w:tcBorders>
              <w:bottom w:val="single" w:sz="4" w:space="0" w:color="auto"/>
            </w:tcBorders>
            <w:vAlign w:val="center"/>
          </w:tcPr>
          <w:p w14:paraId="22262C5A" w14:textId="77777777" w:rsidR="006F0590" w:rsidRDefault="000D0DA9">
            <w:pPr>
              <w:widowControl/>
              <w:jc w:val="center"/>
              <w:rPr>
                <w:rFonts w:ascii="宋体" w:hAnsi="宋体"/>
                <w:sz w:val="24"/>
              </w:rPr>
            </w:pPr>
            <w:r>
              <w:rPr>
                <w:rFonts w:ascii="宋体" w:hAnsi="宋体"/>
                <w:sz w:val="24"/>
              </w:rPr>
              <w:t>2.8-3.6年</w:t>
            </w:r>
          </w:p>
        </w:tc>
        <w:tc>
          <w:tcPr>
            <w:tcW w:w="2095" w:type="dxa"/>
            <w:tcBorders>
              <w:bottom w:val="single" w:sz="4" w:space="0" w:color="auto"/>
            </w:tcBorders>
            <w:vAlign w:val="center"/>
          </w:tcPr>
          <w:p w14:paraId="2D804353" w14:textId="77777777" w:rsidR="006F0590" w:rsidRDefault="000D0DA9">
            <w:pPr>
              <w:widowControl/>
              <w:jc w:val="center"/>
              <w:rPr>
                <w:rFonts w:ascii="宋体" w:hAnsi="宋体"/>
                <w:sz w:val="24"/>
              </w:rPr>
            </w:pPr>
            <w:r>
              <w:rPr>
                <w:rFonts w:ascii="宋体" w:hAnsi="宋体"/>
                <w:sz w:val="24"/>
              </w:rPr>
              <w:t>0.75</w:t>
            </w:r>
          </w:p>
        </w:tc>
        <w:tc>
          <w:tcPr>
            <w:tcW w:w="2015" w:type="dxa"/>
            <w:tcBorders>
              <w:bottom w:val="single" w:sz="4" w:space="0" w:color="auto"/>
            </w:tcBorders>
            <w:vAlign w:val="center"/>
          </w:tcPr>
          <w:p w14:paraId="2CA39DB2" w14:textId="77777777" w:rsidR="006F0590" w:rsidRDefault="006F0590">
            <w:pPr>
              <w:widowControl/>
              <w:jc w:val="center"/>
              <w:rPr>
                <w:rFonts w:ascii="宋体" w:hAnsi="宋体"/>
                <w:sz w:val="24"/>
              </w:rPr>
            </w:pPr>
          </w:p>
        </w:tc>
        <w:tc>
          <w:tcPr>
            <w:tcW w:w="2065" w:type="dxa"/>
            <w:tcBorders>
              <w:bottom w:val="single" w:sz="4" w:space="0" w:color="auto"/>
            </w:tcBorders>
            <w:vAlign w:val="center"/>
          </w:tcPr>
          <w:p w14:paraId="1BE587A3" w14:textId="77777777" w:rsidR="006F0590" w:rsidRDefault="006F0590">
            <w:pPr>
              <w:widowControl/>
              <w:jc w:val="center"/>
              <w:rPr>
                <w:rFonts w:ascii="宋体" w:hAnsi="宋体"/>
                <w:sz w:val="24"/>
              </w:rPr>
            </w:pPr>
          </w:p>
        </w:tc>
      </w:tr>
    </w:tbl>
    <w:p w14:paraId="136207A4" w14:textId="77777777" w:rsidR="006F0590" w:rsidRDefault="000D0DA9">
      <w:pPr>
        <w:snapToGrid w:val="0"/>
        <w:spacing w:line="480" w:lineRule="exact"/>
        <w:ind w:firstLineChars="200" w:firstLine="600"/>
        <w:outlineLvl w:val="1"/>
        <w:rPr>
          <w:rFonts w:ascii="楷体_GB2312" w:eastAsia="楷体_GB2312" w:hAnsi="楷体"/>
          <w:bCs/>
          <w:sz w:val="30"/>
          <w:szCs w:val="30"/>
        </w:rPr>
      </w:pPr>
      <w:r>
        <w:rPr>
          <w:rFonts w:ascii="楷体_GB2312" w:eastAsia="楷体_GB2312" w:hAnsi="楷体" w:hint="eastAsia"/>
          <w:bCs/>
          <w:sz w:val="30"/>
          <w:szCs w:val="30"/>
        </w:rPr>
        <w:t>（三）利率及债券衍生工具</w:t>
      </w:r>
    </w:p>
    <w:p w14:paraId="32CBEBD5" w14:textId="3A137ED3"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1.利率衍生工具包括受利率变化影响的衍生工具，如：利率期货、远期利率协议、利率互换</w:t>
      </w:r>
      <w:r w:rsidR="00372714">
        <w:rPr>
          <w:rFonts w:ascii="仿宋_GB2312" w:eastAsia="仿宋_GB2312" w:hint="eastAsia"/>
          <w:sz w:val="30"/>
          <w:szCs w:val="30"/>
        </w:rPr>
        <w:t>、</w:t>
      </w:r>
      <w:r>
        <w:rPr>
          <w:rFonts w:ascii="仿宋_GB2312" w:eastAsia="仿宋_GB2312" w:hint="eastAsia"/>
          <w:sz w:val="30"/>
          <w:szCs w:val="30"/>
        </w:rPr>
        <w:t>交叉货币互换合约、利率期权及远期外汇头寸。</w:t>
      </w:r>
    </w:p>
    <w:p w14:paraId="54230845"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 xml:space="preserve">债券衍生工具包括债券的远期、期货和债券期权。 </w:t>
      </w:r>
    </w:p>
    <w:p w14:paraId="5F011A41" w14:textId="753784BF"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2.衍生工具应转换为基础工具，并按基础工具的特定市场风险和一般市场风险的方法</w:t>
      </w:r>
      <w:r w:rsidR="00372714">
        <w:rPr>
          <w:rFonts w:ascii="仿宋_GB2312" w:eastAsia="仿宋_GB2312" w:hint="eastAsia"/>
          <w:sz w:val="30"/>
          <w:szCs w:val="30"/>
        </w:rPr>
        <w:t>计量</w:t>
      </w:r>
      <w:r>
        <w:rPr>
          <w:rFonts w:ascii="仿宋_GB2312" w:eastAsia="仿宋_GB2312" w:hint="eastAsia"/>
          <w:sz w:val="30"/>
          <w:szCs w:val="30"/>
        </w:rPr>
        <w:t>资本要求。利率和货币互换、远期利率协议、远期外汇合约、利率期货</w:t>
      </w:r>
      <w:r w:rsidR="00F269F7">
        <w:rPr>
          <w:rFonts w:ascii="仿宋_GB2312" w:eastAsia="仿宋_GB2312" w:hint="eastAsia"/>
          <w:sz w:val="30"/>
          <w:szCs w:val="30"/>
        </w:rPr>
        <w:t>、</w:t>
      </w:r>
      <w:r>
        <w:rPr>
          <w:rFonts w:ascii="仿宋_GB2312" w:eastAsia="仿宋_GB2312" w:hint="eastAsia"/>
          <w:sz w:val="30"/>
          <w:szCs w:val="30"/>
        </w:rPr>
        <w:t>利率指数期货</w:t>
      </w:r>
      <w:r w:rsidR="00F269F7">
        <w:rPr>
          <w:rFonts w:ascii="仿宋_GB2312" w:eastAsia="仿宋_GB2312" w:hint="eastAsia"/>
          <w:sz w:val="30"/>
          <w:szCs w:val="30"/>
        </w:rPr>
        <w:t>及利率期权</w:t>
      </w:r>
      <w:r>
        <w:rPr>
          <w:rFonts w:ascii="仿宋_GB2312" w:eastAsia="仿宋_GB2312" w:hint="eastAsia"/>
          <w:sz w:val="30"/>
          <w:szCs w:val="30"/>
        </w:rPr>
        <w:t>不必</w:t>
      </w:r>
      <w:r w:rsidR="00372714">
        <w:rPr>
          <w:rFonts w:ascii="仿宋_GB2312" w:eastAsia="仿宋_GB2312" w:hint="eastAsia"/>
          <w:sz w:val="30"/>
          <w:szCs w:val="30"/>
        </w:rPr>
        <w:t>计量</w:t>
      </w:r>
      <w:r>
        <w:rPr>
          <w:rFonts w:ascii="仿宋_GB2312" w:eastAsia="仿宋_GB2312" w:hint="eastAsia"/>
          <w:sz w:val="30"/>
          <w:szCs w:val="30"/>
        </w:rPr>
        <w:t>特定市场风险的资本要求；如果期货合约的基础工具是债券或代表债券组合的指数，则应根据发行主体的信用风险</w:t>
      </w:r>
      <w:r w:rsidR="00372714">
        <w:rPr>
          <w:rFonts w:ascii="仿宋_GB2312" w:eastAsia="仿宋_GB2312" w:hint="eastAsia"/>
          <w:sz w:val="30"/>
          <w:szCs w:val="30"/>
        </w:rPr>
        <w:t>计量</w:t>
      </w:r>
      <w:r>
        <w:rPr>
          <w:rFonts w:ascii="仿宋_GB2312" w:eastAsia="仿宋_GB2312" w:hint="eastAsia"/>
          <w:sz w:val="30"/>
          <w:szCs w:val="30"/>
        </w:rPr>
        <w:t>特定市场风险资本要求。</w:t>
      </w:r>
    </w:p>
    <w:p w14:paraId="48590BA0" w14:textId="77777777" w:rsidR="006F0590" w:rsidRDefault="000D0DA9">
      <w:pPr>
        <w:pStyle w:val="20"/>
        <w:spacing w:line="480" w:lineRule="exact"/>
      </w:pPr>
      <w:r>
        <w:rPr>
          <w:rFonts w:hint="eastAsia"/>
        </w:rPr>
        <w:t>三、股票风险</w:t>
      </w:r>
    </w:p>
    <w:p w14:paraId="1B1FD511"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股票风险是指交易账簿中股票及股票衍生工具头寸的风险。其中股票是指按照股票交易规则进行交易的所有金融工具，包括普通股（不考虑是否具有投票权）、可转换债券和买卖股票的承诺。</w:t>
      </w:r>
    </w:p>
    <w:p w14:paraId="2F3D9BC8" w14:textId="77777777" w:rsidR="006F0590" w:rsidRDefault="000D0DA9">
      <w:pPr>
        <w:snapToGrid w:val="0"/>
        <w:spacing w:line="480" w:lineRule="exact"/>
        <w:ind w:firstLineChars="200" w:firstLine="600"/>
        <w:outlineLvl w:val="1"/>
        <w:rPr>
          <w:rFonts w:ascii="楷体_GB2312" w:eastAsia="楷体_GB2312" w:hAnsi="楷体"/>
          <w:bCs/>
          <w:sz w:val="30"/>
          <w:szCs w:val="30"/>
        </w:rPr>
      </w:pPr>
      <w:r>
        <w:rPr>
          <w:rFonts w:ascii="楷体_GB2312" w:eastAsia="楷体_GB2312" w:hAnsi="楷体" w:hint="eastAsia"/>
          <w:bCs/>
          <w:sz w:val="30"/>
          <w:szCs w:val="30"/>
        </w:rPr>
        <w:t>（一）特定市场风险和一般市场风险</w:t>
      </w:r>
    </w:p>
    <w:p w14:paraId="698E20BE"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特定市场风险的资本要求等于各不同市场中各类股票多头头寸绝对值及空头头寸绝对值之和乘以8％后所得各项数值之和。一般市场风险对应的资本要求，等于各不同市场中各类多头及空头头寸抵消后股票净头寸的绝对值乘以8％后所得各项数值之和。</w:t>
      </w:r>
    </w:p>
    <w:p w14:paraId="0C8B181B" w14:textId="77777777" w:rsidR="006F0590" w:rsidRDefault="000D0DA9">
      <w:pPr>
        <w:snapToGrid w:val="0"/>
        <w:spacing w:line="480" w:lineRule="exact"/>
        <w:ind w:firstLineChars="200" w:firstLine="600"/>
        <w:outlineLvl w:val="1"/>
        <w:rPr>
          <w:rFonts w:ascii="楷体_GB2312" w:eastAsia="楷体_GB2312" w:hAnsi="楷体"/>
          <w:bCs/>
          <w:sz w:val="30"/>
          <w:szCs w:val="30"/>
        </w:rPr>
      </w:pPr>
      <w:r>
        <w:rPr>
          <w:rFonts w:ascii="楷体_GB2312" w:eastAsia="楷体_GB2312" w:hAnsi="楷体" w:hint="eastAsia"/>
          <w:bCs/>
          <w:sz w:val="30"/>
          <w:szCs w:val="30"/>
        </w:rPr>
        <w:lastRenderedPageBreak/>
        <w:t>（二）股票衍生工具</w:t>
      </w:r>
    </w:p>
    <w:p w14:paraId="4F2879AE" w14:textId="6DEC8DD1"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股票衍生工具包括股票和股票指数的远期、期货</w:t>
      </w:r>
      <w:r w:rsidR="002D1597">
        <w:rPr>
          <w:rFonts w:ascii="仿宋_GB2312" w:eastAsia="仿宋_GB2312" w:hint="eastAsia"/>
          <w:sz w:val="30"/>
          <w:szCs w:val="30"/>
        </w:rPr>
        <w:t>、</w:t>
      </w:r>
      <w:r>
        <w:rPr>
          <w:rFonts w:ascii="仿宋_GB2312" w:eastAsia="仿宋_GB2312" w:hint="eastAsia"/>
          <w:sz w:val="30"/>
          <w:szCs w:val="30"/>
        </w:rPr>
        <w:t>互换合约</w:t>
      </w:r>
      <w:r w:rsidR="002D1597">
        <w:rPr>
          <w:rFonts w:ascii="仿宋_GB2312" w:eastAsia="仿宋_GB2312" w:hint="eastAsia"/>
          <w:sz w:val="30"/>
          <w:szCs w:val="30"/>
        </w:rPr>
        <w:t>、期权</w:t>
      </w:r>
      <w:r>
        <w:rPr>
          <w:rFonts w:ascii="仿宋_GB2312" w:eastAsia="仿宋_GB2312" w:hint="eastAsia"/>
          <w:sz w:val="30"/>
          <w:szCs w:val="30"/>
        </w:rPr>
        <w:t>。</w:t>
      </w:r>
    </w:p>
    <w:p w14:paraId="5ED0F90D" w14:textId="270983A3"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衍生工具应转换为基础工具，并按基础工具的特定市场风险和一般市场风险的方法</w:t>
      </w:r>
      <w:r w:rsidR="00372714">
        <w:rPr>
          <w:rFonts w:ascii="仿宋_GB2312" w:eastAsia="仿宋_GB2312" w:hint="eastAsia"/>
          <w:sz w:val="30"/>
          <w:szCs w:val="30"/>
        </w:rPr>
        <w:t>计量</w:t>
      </w:r>
      <w:r>
        <w:rPr>
          <w:rFonts w:ascii="仿宋_GB2312" w:eastAsia="仿宋_GB2312" w:hint="eastAsia"/>
          <w:sz w:val="30"/>
          <w:szCs w:val="30"/>
        </w:rPr>
        <w:t>资本要求。</w:t>
      </w:r>
    </w:p>
    <w:p w14:paraId="11EF56B2" w14:textId="77777777" w:rsidR="006F0590" w:rsidRDefault="000D0DA9">
      <w:pPr>
        <w:pStyle w:val="20"/>
        <w:spacing w:line="480" w:lineRule="exact"/>
      </w:pPr>
      <w:r>
        <w:rPr>
          <w:rFonts w:hint="eastAsia"/>
        </w:rPr>
        <w:t>四、外汇风险</w:t>
      </w:r>
    </w:p>
    <w:p w14:paraId="25DD9E84"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外汇风险是指外汇（包括黄金）及外汇衍生工具头寸的风险。</w:t>
      </w:r>
    </w:p>
    <w:p w14:paraId="4216FC1B" w14:textId="77777777" w:rsidR="006F0590" w:rsidRDefault="000D0DA9">
      <w:pPr>
        <w:snapToGrid w:val="0"/>
        <w:spacing w:line="480" w:lineRule="exact"/>
        <w:ind w:firstLineChars="200" w:firstLine="600"/>
        <w:outlineLvl w:val="1"/>
        <w:rPr>
          <w:rFonts w:ascii="楷体_GB2312" w:eastAsia="楷体_GB2312" w:hAnsi="楷体"/>
          <w:bCs/>
          <w:sz w:val="30"/>
          <w:szCs w:val="30"/>
        </w:rPr>
      </w:pPr>
      <w:r>
        <w:rPr>
          <w:rFonts w:ascii="楷体_GB2312" w:eastAsia="楷体_GB2312" w:hAnsi="楷体" w:hint="eastAsia"/>
          <w:bCs/>
          <w:sz w:val="30"/>
          <w:szCs w:val="30"/>
        </w:rPr>
        <w:t>（一）外汇风险的资本要求</w:t>
      </w:r>
    </w:p>
    <w:p w14:paraId="06D25C99"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外汇风险的资本要求等于净风险暴露头寸总额乘以8％。</w:t>
      </w:r>
    </w:p>
    <w:p w14:paraId="4F370351"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净风险暴露头寸总额等于以下两项之和：</w:t>
      </w:r>
    </w:p>
    <w:p w14:paraId="0C871AF0" w14:textId="330BCFAB"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1.外币资产组合（不包括黄金）的净多头头寸之和（净头寸为多头的所有币种的净头寸之和）与净空头头寸之和（净头寸为空头的所有币种的净头寸之和的绝对值）中的较大者。</w:t>
      </w:r>
    </w:p>
    <w:p w14:paraId="36211ADE" w14:textId="672AA996"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2.黄金的净头寸。</w:t>
      </w:r>
    </w:p>
    <w:p w14:paraId="2F107A89" w14:textId="77777777" w:rsidR="006F0590" w:rsidRDefault="000D0DA9">
      <w:pPr>
        <w:snapToGrid w:val="0"/>
        <w:spacing w:line="480" w:lineRule="exact"/>
        <w:ind w:firstLineChars="200" w:firstLine="600"/>
        <w:outlineLvl w:val="1"/>
        <w:rPr>
          <w:rFonts w:ascii="楷体_GB2312" w:eastAsia="楷体_GB2312" w:hAnsi="楷体"/>
          <w:bCs/>
          <w:sz w:val="30"/>
          <w:szCs w:val="30"/>
        </w:rPr>
      </w:pPr>
      <w:r>
        <w:rPr>
          <w:rFonts w:ascii="楷体_GB2312" w:eastAsia="楷体_GB2312" w:hAnsi="楷体" w:hint="eastAsia"/>
          <w:bCs/>
          <w:sz w:val="30"/>
          <w:szCs w:val="30"/>
        </w:rPr>
        <w:t>（二）外汇衍生工具</w:t>
      </w:r>
    </w:p>
    <w:p w14:paraId="2639A2FA" w14:textId="6AB8D0DB"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外汇衍生工具应转换为基础工具，并按基础工具的方法</w:t>
      </w:r>
      <w:r w:rsidR="00372714">
        <w:rPr>
          <w:rFonts w:ascii="仿宋_GB2312" w:eastAsia="仿宋_GB2312" w:hint="eastAsia"/>
          <w:sz w:val="30"/>
          <w:szCs w:val="30"/>
        </w:rPr>
        <w:t>计量</w:t>
      </w:r>
      <w:r>
        <w:rPr>
          <w:rFonts w:ascii="仿宋_GB2312" w:eastAsia="仿宋_GB2312" w:hint="eastAsia"/>
          <w:sz w:val="30"/>
          <w:szCs w:val="30"/>
        </w:rPr>
        <w:t>市场风险资本要求。</w:t>
      </w:r>
    </w:p>
    <w:p w14:paraId="0C2E160F" w14:textId="77777777" w:rsidR="006F0590" w:rsidRDefault="000D0DA9">
      <w:pPr>
        <w:pStyle w:val="20"/>
        <w:spacing w:line="480" w:lineRule="exact"/>
      </w:pPr>
      <w:r>
        <w:rPr>
          <w:rFonts w:hint="eastAsia"/>
        </w:rPr>
        <w:t>五、商品风险</w:t>
      </w:r>
    </w:p>
    <w:p w14:paraId="5F10EAA1" w14:textId="2D5509CB"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适用于商品、商品远期、商品期货、商品互换</w:t>
      </w:r>
      <w:r w:rsidR="00E56D43">
        <w:rPr>
          <w:rFonts w:ascii="仿宋_GB2312" w:eastAsia="仿宋_GB2312" w:hint="eastAsia"/>
          <w:sz w:val="30"/>
          <w:szCs w:val="30"/>
        </w:rPr>
        <w:t>、商品期权</w:t>
      </w:r>
      <w:r>
        <w:rPr>
          <w:rFonts w:ascii="仿宋_GB2312" w:eastAsia="仿宋_GB2312" w:hint="eastAsia"/>
          <w:sz w:val="30"/>
          <w:szCs w:val="30"/>
        </w:rPr>
        <w:t>。</w:t>
      </w:r>
    </w:p>
    <w:p w14:paraId="270610A2"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此处的商品是指可以在二级市场买卖的实物产品，如：贵金属（不包括黄金）、农产品和矿物（包括石油）等。</w:t>
      </w:r>
    </w:p>
    <w:p w14:paraId="2EB8F124"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（一）商品风险对应的资本要求等于以下两项之和：</w:t>
      </w:r>
    </w:p>
    <w:p w14:paraId="0807C733" w14:textId="4F315AF1"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1.各项商品净头寸的绝对值之和乘以15％。</w:t>
      </w:r>
    </w:p>
    <w:p w14:paraId="2D71B031" w14:textId="337AB348"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2.各项商品总头寸（多头头寸加上空头头寸的绝对值）之和乘以3％。</w:t>
      </w:r>
    </w:p>
    <w:p w14:paraId="7D811845" w14:textId="053CA1EF"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（二）商品衍生工具应转换为名义商品，并按上述方法</w:t>
      </w:r>
      <w:r w:rsidR="00372714">
        <w:rPr>
          <w:rFonts w:ascii="仿宋_GB2312" w:eastAsia="仿宋_GB2312" w:hint="eastAsia"/>
          <w:sz w:val="30"/>
          <w:szCs w:val="30"/>
        </w:rPr>
        <w:t>计量</w:t>
      </w:r>
      <w:r>
        <w:rPr>
          <w:rFonts w:ascii="仿宋_GB2312" w:eastAsia="仿宋_GB2312" w:hint="eastAsia"/>
          <w:sz w:val="30"/>
          <w:szCs w:val="30"/>
        </w:rPr>
        <w:t>资</w:t>
      </w:r>
      <w:r>
        <w:rPr>
          <w:rFonts w:ascii="仿宋_GB2312" w:eastAsia="仿宋_GB2312" w:hint="eastAsia"/>
          <w:sz w:val="30"/>
          <w:szCs w:val="30"/>
        </w:rPr>
        <w:lastRenderedPageBreak/>
        <w:t>本要求。</w:t>
      </w:r>
    </w:p>
    <w:p w14:paraId="5C8D126A" w14:textId="77777777" w:rsidR="006F0590" w:rsidRDefault="000D0DA9">
      <w:pPr>
        <w:pStyle w:val="20"/>
        <w:spacing w:line="480" w:lineRule="exact"/>
      </w:pPr>
      <w:r>
        <w:rPr>
          <w:rFonts w:hint="eastAsia"/>
        </w:rPr>
        <w:t>六、期权风险</w:t>
      </w:r>
    </w:p>
    <w:p w14:paraId="2B085662" w14:textId="021CF9F6"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（一）仅购买期权的商业银行可以使用简易的</w:t>
      </w:r>
      <w:r w:rsidR="00372714">
        <w:rPr>
          <w:rFonts w:ascii="仿宋_GB2312" w:eastAsia="仿宋_GB2312" w:hint="eastAsia"/>
          <w:sz w:val="30"/>
          <w:szCs w:val="30"/>
        </w:rPr>
        <w:t>计量</w:t>
      </w:r>
      <w:r>
        <w:rPr>
          <w:rFonts w:ascii="仿宋_GB2312" w:eastAsia="仿宋_GB2312" w:hint="eastAsia"/>
          <w:sz w:val="30"/>
          <w:szCs w:val="30"/>
        </w:rPr>
        <w:t>方法。</w:t>
      </w:r>
    </w:p>
    <w:p w14:paraId="79E6BA53" w14:textId="2CAE0552"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１.银行如持有现货多头和看跌期权多头，或持有现货空头和看涨期权多头,资本要求等于期权合约对应的基础工具的市场价值乘以特定市场风险和一般市场风险资本要求比率之和，再减去实值期权的价内金额。资本要求最低为零。</w:t>
      </w:r>
    </w:p>
    <w:p w14:paraId="2387025B" w14:textId="2B0EE20D"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2.银行如持有看涨期权多头或看跌期权多头, 资本要求等于基础工具的市场价值乘以该基础工具的特定市场风险和一般市场风险资本要求比率之和与期权的市场价值两者中的较小者。</w:t>
      </w:r>
    </w:p>
    <w:p w14:paraId="0D722ECF"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（二）同时卖出期权的商业银行应使用得尔塔+ (Delta-plus)方法。</w:t>
      </w:r>
    </w:p>
    <w:p w14:paraId="707A7531" w14:textId="7502CD3C"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得尔塔+方法</w:t>
      </w:r>
      <w:r w:rsidR="00372714">
        <w:rPr>
          <w:rFonts w:ascii="仿宋_GB2312" w:eastAsia="仿宋_GB2312" w:hint="eastAsia"/>
          <w:sz w:val="30"/>
          <w:szCs w:val="30"/>
        </w:rPr>
        <w:t>计量</w:t>
      </w:r>
      <w:r>
        <w:rPr>
          <w:rFonts w:ascii="仿宋_GB2312" w:eastAsia="仿宋_GB2312" w:hint="eastAsia"/>
          <w:sz w:val="30"/>
          <w:szCs w:val="30"/>
        </w:rPr>
        <w:t>的资本要求由以下三部分组成：</w:t>
      </w:r>
    </w:p>
    <w:p w14:paraId="24EEC945" w14:textId="15CC14E5"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１.期权基础工具的市值乘以该期权的得尔塔值得到得尔塔加权期权头寸，然后将得尔塔加权头寸加入到基础工具的头寸中</w:t>
      </w:r>
      <w:r w:rsidR="00372714">
        <w:rPr>
          <w:rFonts w:ascii="仿宋_GB2312" w:eastAsia="仿宋_GB2312" w:hint="eastAsia"/>
          <w:sz w:val="30"/>
          <w:szCs w:val="30"/>
        </w:rPr>
        <w:t>计量</w:t>
      </w:r>
      <w:r>
        <w:rPr>
          <w:rFonts w:ascii="仿宋_GB2312" w:eastAsia="仿宋_GB2312" w:hint="eastAsia"/>
          <w:sz w:val="30"/>
          <w:szCs w:val="30"/>
        </w:rPr>
        <w:t>资本要求。</w:t>
      </w:r>
    </w:p>
    <w:p w14:paraId="77AC2844" w14:textId="514A57E0" w:rsidR="006F0590" w:rsidRDefault="000D0DA9">
      <w:pPr>
        <w:tabs>
          <w:tab w:val="left" w:pos="720"/>
          <w:tab w:val="left" w:pos="900"/>
          <w:tab w:val="left" w:pos="1080"/>
        </w:tabs>
        <w:spacing w:line="480" w:lineRule="exact"/>
        <w:ind w:firstLineChars="200" w:firstLine="600"/>
        <w:rPr>
          <w:rFonts w:ascii="仿宋_GB2312" w:eastAsia="仿宋_GB2312"/>
          <w:sz w:val="30"/>
          <w:szCs w:val="30"/>
        </w:rPr>
      </w:pPr>
      <w:r>
        <w:rPr>
          <w:rFonts w:ascii="仿宋_GB2312" w:eastAsia="仿宋_GB2312" w:hint="eastAsia"/>
          <w:sz w:val="30"/>
          <w:szCs w:val="30"/>
        </w:rPr>
        <w:t>2.伽马（Gamma）风险的资本要求。</w:t>
      </w:r>
    </w:p>
    <w:p w14:paraId="2291AE7E"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伽马效应值＝</w:t>
      </w:r>
      <w:r w:rsidR="00B10B3E">
        <w:rPr>
          <w:noProof/>
          <w:position w:val="-16"/>
          <w:sz w:val="30"/>
          <w:szCs w:val="30"/>
        </w:rPr>
        <w:object w:dxaOrig="2361" w:dyaOrig="502" w14:anchorId="57C22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65pt;height:26pt;mso-width-percent:0;mso-height-percent:0;mso-width-percent:0;mso-height-percent:0" o:ole="">
            <v:imagedata r:id="rId7" o:title=""/>
          </v:shape>
          <o:OLEObject Type="Embed" ProgID="Equation.DSMT4" ShapeID="_x0000_i1025" DrawAspect="Content" ObjectID="_1760285261" r:id="rId8"/>
        </w:object>
      </w:r>
      <w:r>
        <w:rPr>
          <w:rFonts w:ascii="仿宋_GB2312" w:eastAsia="仿宋_GB2312" w:hint="eastAsia"/>
          <w:sz w:val="30"/>
          <w:szCs w:val="30"/>
        </w:rPr>
        <w:t xml:space="preserve"> </w:t>
      </w:r>
    </w:p>
    <w:p w14:paraId="49DFDFEE"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sz w:val="30"/>
          <w:szCs w:val="30"/>
        </w:rPr>
        <w:t>VU</w:t>
      </w:r>
      <w:r>
        <w:rPr>
          <w:rFonts w:ascii="仿宋_GB2312" w:eastAsia="仿宋_GB2312" w:hint="eastAsia"/>
          <w:sz w:val="30"/>
          <w:szCs w:val="30"/>
        </w:rPr>
        <w:t>为期权基础工具的变动。</w:t>
      </w:r>
    </w:p>
    <w:p w14:paraId="2C9E843B"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其中：</w:t>
      </w:r>
    </w:p>
    <w:p w14:paraId="58438BF2"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（1）对于利率期权，当基础工具为债券时：VU＝基础工具市值×表2中相应时段的风险权重。</w:t>
      </w:r>
    </w:p>
    <w:p w14:paraId="325CABD1"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（2）当基础工具为利率时：VU=基础工具市值×表</w:t>
      </w:r>
      <w:r>
        <w:rPr>
          <w:rFonts w:ascii="仿宋_GB2312" w:eastAsia="仿宋_GB2312"/>
          <w:sz w:val="30"/>
          <w:szCs w:val="30"/>
        </w:rPr>
        <w:t>2</w:t>
      </w:r>
      <w:r>
        <w:rPr>
          <w:rFonts w:ascii="仿宋_GB2312" w:eastAsia="仿宋_GB2312" w:hint="eastAsia"/>
          <w:sz w:val="30"/>
          <w:szCs w:val="30"/>
        </w:rPr>
        <w:t>中相应时段的假定收益率变化。</w:t>
      </w:r>
    </w:p>
    <w:p w14:paraId="28382FCB"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（3）当基础工具为股票、股指、外汇与黄金时：VU=基础工具市值×8％。</w:t>
      </w:r>
    </w:p>
    <w:p w14:paraId="0E8E4170"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lastRenderedPageBreak/>
        <w:t>（4）当基础工具为商品时：VU=基础工具市值×15％。</w:t>
      </w:r>
    </w:p>
    <w:p w14:paraId="02710C21" w14:textId="2C1A1F8B" w:rsidR="006F0590" w:rsidRDefault="000D0DA9">
      <w:pPr>
        <w:tabs>
          <w:tab w:val="left" w:pos="900"/>
        </w:tabs>
        <w:spacing w:line="480" w:lineRule="exact"/>
        <w:ind w:firstLineChars="200" w:firstLine="600"/>
        <w:rPr>
          <w:rFonts w:ascii="仿宋_GB2312" w:eastAsia="仿宋_GB2312"/>
          <w:sz w:val="30"/>
          <w:szCs w:val="30"/>
        </w:rPr>
      </w:pPr>
      <w:r>
        <w:rPr>
          <w:rFonts w:ascii="仿宋_GB2312" w:eastAsia="仿宋_GB2312" w:hint="eastAsia"/>
          <w:sz w:val="30"/>
          <w:szCs w:val="30"/>
        </w:rPr>
        <w:t>同一基础工具每项期权对应的伽马效应值相加得出每一基础工具的净伽马效应值。仅当基础工具的净伽马效应值为负值时，才须</w:t>
      </w:r>
      <w:r w:rsidR="00372714">
        <w:rPr>
          <w:rFonts w:ascii="仿宋_GB2312" w:eastAsia="仿宋_GB2312" w:hint="eastAsia"/>
          <w:sz w:val="30"/>
          <w:szCs w:val="30"/>
        </w:rPr>
        <w:t>计量</w:t>
      </w:r>
      <w:r>
        <w:rPr>
          <w:rFonts w:ascii="仿宋_GB2312" w:eastAsia="仿宋_GB2312" w:hint="eastAsia"/>
          <w:sz w:val="30"/>
          <w:szCs w:val="30"/>
        </w:rPr>
        <w:t>相应的资本要求，且资本要求总额等于这些净伽马效应值之和的绝对值。</w:t>
      </w:r>
    </w:p>
    <w:p w14:paraId="45EB086F" w14:textId="0138D1F2" w:rsidR="006F0590" w:rsidRDefault="000D0DA9">
      <w:pPr>
        <w:tabs>
          <w:tab w:val="left" w:pos="360"/>
          <w:tab w:val="left" w:pos="540"/>
          <w:tab w:val="left" w:pos="720"/>
        </w:tabs>
        <w:spacing w:line="480" w:lineRule="exact"/>
        <w:ind w:firstLineChars="200" w:firstLine="600"/>
        <w:rPr>
          <w:rFonts w:ascii="仿宋_GB2312" w:eastAsia="仿宋_GB2312"/>
          <w:sz w:val="30"/>
          <w:szCs w:val="30"/>
        </w:rPr>
      </w:pPr>
      <w:r>
        <w:rPr>
          <w:rFonts w:ascii="仿宋_GB2312" w:eastAsia="仿宋_GB2312" w:hint="eastAsia"/>
          <w:sz w:val="30"/>
          <w:szCs w:val="30"/>
        </w:rPr>
        <w:t>3.维伽（</w:t>
      </w:r>
      <w:r>
        <w:rPr>
          <w:rFonts w:ascii="仿宋_GB2312" w:eastAsia="仿宋_GB2312"/>
          <w:sz w:val="30"/>
          <w:szCs w:val="30"/>
        </w:rPr>
        <w:t>V</w:t>
      </w:r>
      <w:r>
        <w:rPr>
          <w:rFonts w:ascii="仿宋_GB2312" w:eastAsia="仿宋_GB2312" w:hint="eastAsia"/>
          <w:sz w:val="30"/>
          <w:szCs w:val="30"/>
        </w:rPr>
        <w:t>ega）风险的资本要求。</w:t>
      </w:r>
    </w:p>
    <w:p w14:paraId="64AF57E0" w14:textId="77777777" w:rsidR="006F0590" w:rsidRDefault="000D0DA9">
      <w:pPr>
        <w:tabs>
          <w:tab w:val="left" w:pos="720"/>
        </w:tabs>
        <w:spacing w:line="480" w:lineRule="exact"/>
        <w:ind w:firstLineChars="200" w:firstLine="600"/>
        <w:rPr>
          <w:rFonts w:ascii="仿宋_GB2312" w:eastAsia="仿宋_GB2312"/>
          <w:sz w:val="30"/>
          <w:szCs w:val="30"/>
        </w:rPr>
      </w:pPr>
      <w:r>
        <w:rPr>
          <w:rFonts w:ascii="仿宋_GB2312" w:eastAsia="仿宋_GB2312" w:hint="eastAsia"/>
          <w:sz w:val="30"/>
          <w:szCs w:val="30"/>
        </w:rPr>
        <w:t>基础工具维伽风险的资本要求</w:t>
      </w:r>
    </w:p>
    <w:p w14:paraId="35CB1D25" w14:textId="7BDAD819"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＝25％×该基础工具波动率×|该基础工具的各项期权的维</w:t>
      </w:r>
      <w:r w:rsidR="002D1597">
        <w:rPr>
          <w:rFonts w:ascii="仿宋_GB2312" w:eastAsia="仿宋_GB2312" w:hint="eastAsia"/>
          <w:sz w:val="30"/>
          <w:szCs w:val="30"/>
        </w:rPr>
        <w:t>伽</w:t>
      </w:r>
      <w:r>
        <w:rPr>
          <w:rFonts w:ascii="仿宋_GB2312" w:eastAsia="仿宋_GB2312" w:hint="eastAsia"/>
          <w:sz w:val="30"/>
          <w:szCs w:val="30"/>
        </w:rPr>
        <w:t>值之和|</w:t>
      </w:r>
    </w:p>
    <w:p w14:paraId="4C29D614" w14:textId="7777777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维伽风险的资本要求总额，等于各项基础工具维伽风险的资本要求之和。</w:t>
      </w:r>
    </w:p>
    <w:p w14:paraId="7C069B99" w14:textId="77777777" w:rsidR="006F0590" w:rsidRDefault="000D0DA9">
      <w:pPr>
        <w:pStyle w:val="20"/>
        <w:spacing w:line="480" w:lineRule="exact"/>
      </w:pPr>
      <w:r>
        <w:rPr>
          <w:rFonts w:hint="eastAsia"/>
        </w:rPr>
        <w:t>七、承销</w:t>
      </w:r>
    </w:p>
    <w:p w14:paraId="248C30B9" w14:textId="15A13737"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商业银行采取包销方式承销债券</w:t>
      </w:r>
      <w:r>
        <w:rPr>
          <w:rFonts w:ascii="仿宋_GB2312" w:eastAsia="仿宋_GB2312" w:hAnsi="Calibri" w:hint="eastAsia"/>
          <w:sz w:val="30"/>
          <w:szCs w:val="30"/>
        </w:rPr>
        <w:t>等</w:t>
      </w:r>
      <w:r>
        <w:rPr>
          <w:rFonts w:ascii="仿宋_GB2312" w:eastAsia="仿宋_GB2312" w:hint="eastAsia"/>
          <w:sz w:val="30"/>
          <w:szCs w:val="30"/>
        </w:rPr>
        <w:t>工具时，应使用下述方法</w:t>
      </w:r>
      <w:r w:rsidR="002D1597">
        <w:rPr>
          <w:rFonts w:ascii="仿宋_GB2312" w:eastAsia="仿宋_GB2312" w:hint="eastAsia"/>
          <w:sz w:val="30"/>
          <w:szCs w:val="30"/>
        </w:rPr>
        <w:t>计量</w:t>
      </w:r>
      <w:r>
        <w:rPr>
          <w:rFonts w:ascii="仿宋_GB2312" w:eastAsia="仿宋_GB2312" w:hint="eastAsia"/>
          <w:sz w:val="30"/>
          <w:szCs w:val="30"/>
        </w:rPr>
        <w:t>相应的市场风险资本。</w:t>
      </w:r>
    </w:p>
    <w:p w14:paraId="3135F1AA" w14:textId="05BEBAFD"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1.商业银行按以下方式确定</w:t>
      </w:r>
      <w:r w:rsidR="0017692B">
        <w:rPr>
          <w:rFonts w:ascii="仿宋_GB2312" w:eastAsia="仿宋_GB2312" w:hint="eastAsia"/>
          <w:sz w:val="30"/>
          <w:szCs w:val="30"/>
        </w:rPr>
        <w:t>应</w:t>
      </w:r>
      <w:r w:rsidR="002D1597">
        <w:rPr>
          <w:rFonts w:ascii="仿宋_GB2312" w:eastAsia="仿宋_GB2312" w:hint="eastAsia"/>
          <w:sz w:val="30"/>
          <w:szCs w:val="30"/>
        </w:rPr>
        <w:t>计量</w:t>
      </w:r>
      <w:r>
        <w:rPr>
          <w:rFonts w:ascii="仿宋_GB2312" w:eastAsia="仿宋_GB2312" w:hint="eastAsia"/>
          <w:sz w:val="30"/>
          <w:szCs w:val="30"/>
        </w:rPr>
        <w:t>市场风险资本的承销业务风险暴露额：</w:t>
      </w:r>
    </w:p>
    <w:p w14:paraId="7D84D308" w14:textId="192F0B82" w:rsidR="006F0590" w:rsidRDefault="0017692B">
      <w:pPr>
        <w:spacing w:line="480" w:lineRule="exact"/>
        <w:ind w:firstLineChars="200" w:firstLine="600"/>
        <w:rPr>
          <w:rFonts w:ascii="仿宋_GB2312" w:eastAsia="仿宋_GB2312"/>
          <w:sz w:val="30"/>
          <w:szCs w:val="30"/>
        </w:rPr>
      </w:pPr>
      <w:r>
        <w:rPr>
          <w:rFonts w:ascii="仿宋_GB2312" w:eastAsia="仿宋_GB2312" w:hint="eastAsia"/>
          <w:sz w:val="30"/>
          <w:szCs w:val="30"/>
        </w:rPr>
        <w:t>应</w:t>
      </w:r>
      <w:r w:rsidR="002D1597">
        <w:rPr>
          <w:rFonts w:ascii="仿宋_GB2312" w:eastAsia="仿宋_GB2312" w:hint="eastAsia"/>
          <w:sz w:val="30"/>
          <w:szCs w:val="30"/>
        </w:rPr>
        <w:t>计量</w:t>
      </w:r>
      <w:r w:rsidR="000D0DA9">
        <w:rPr>
          <w:rFonts w:ascii="仿宋_GB2312" w:eastAsia="仿宋_GB2312" w:hint="eastAsia"/>
          <w:sz w:val="30"/>
          <w:szCs w:val="30"/>
        </w:rPr>
        <w:t>市场风险资本的承销业务风险暴露额=每日日终承销余额×转换系数</w:t>
      </w:r>
    </w:p>
    <w:p w14:paraId="6BA0D6A9" w14:textId="3CD93DD0"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2.自</w:t>
      </w:r>
      <w:r>
        <w:rPr>
          <w:rFonts w:ascii="仿宋_GB2312" w:eastAsia="仿宋_GB2312" w:hAnsi="Calibri" w:hint="eastAsia"/>
          <w:sz w:val="30"/>
          <w:szCs w:val="30"/>
        </w:rPr>
        <w:t>确定承销债券的金额和价格之日起</w:t>
      </w:r>
      <w:r>
        <w:rPr>
          <w:rFonts w:ascii="仿宋_GB2312" w:eastAsia="仿宋_GB2312" w:hint="eastAsia"/>
          <w:sz w:val="30"/>
          <w:szCs w:val="30"/>
        </w:rPr>
        <w:t>，转换系数为50%；自缴款日起，将转换系数调为100%，直至债券全部出售。</w:t>
      </w:r>
    </w:p>
    <w:p w14:paraId="1457FBDF" w14:textId="2200370F" w:rsidR="006F0590" w:rsidRDefault="000D0DA9">
      <w:pPr>
        <w:spacing w:line="480" w:lineRule="exact"/>
        <w:ind w:firstLineChars="200" w:firstLine="600"/>
        <w:rPr>
          <w:rFonts w:ascii="仿宋_GB2312" w:eastAsia="仿宋_GB2312"/>
          <w:sz w:val="30"/>
          <w:szCs w:val="30"/>
        </w:rPr>
      </w:pPr>
      <w:r>
        <w:rPr>
          <w:rFonts w:ascii="仿宋_GB2312" w:eastAsia="仿宋_GB2312" w:hint="eastAsia"/>
          <w:sz w:val="30"/>
          <w:szCs w:val="30"/>
        </w:rPr>
        <w:t>3.每日计算得出的</w:t>
      </w:r>
      <w:r w:rsidR="0017692B">
        <w:rPr>
          <w:rFonts w:ascii="仿宋_GB2312" w:eastAsia="仿宋_GB2312" w:hint="eastAsia"/>
          <w:sz w:val="30"/>
          <w:szCs w:val="30"/>
        </w:rPr>
        <w:t>应</w:t>
      </w:r>
      <w:r w:rsidR="002D1597">
        <w:rPr>
          <w:rFonts w:ascii="仿宋_GB2312" w:eastAsia="仿宋_GB2312" w:hint="eastAsia"/>
          <w:sz w:val="30"/>
          <w:szCs w:val="30"/>
        </w:rPr>
        <w:t>计量</w:t>
      </w:r>
      <w:r>
        <w:rPr>
          <w:rFonts w:ascii="仿宋_GB2312" w:eastAsia="仿宋_GB2312" w:hint="eastAsia"/>
          <w:sz w:val="30"/>
          <w:szCs w:val="30"/>
        </w:rPr>
        <w:t>市场风险资本要求承销业务风险暴露作为交易账簿头寸，根据所承销债券的类型和发行主体，</w:t>
      </w:r>
      <w:r w:rsidR="00372714">
        <w:rPr>
          <w:rFonts w:ascii="仿宋_GB2312" w:eastAsia="仿宋_GB2312" w:hint="eastAsia"/>
          <w:sz w:val="30"/>
          <w:szCs w:val="30"/>
        </w:rPr>
        <w:t>计量</w:t>
      </w:r>
      <w:r>
        <w:rPr>
          <w:rFonts w:ascii="仿宋_GB2312" w:eastAsia="仿宋_GB2312" w:hint="eastAsia"/>
          <w:sz w:val="30"/>
          <w:szCs w:val="30"/>
        </w:rPr>
        <w:t>相应的市场风险资本要求，包括一般市场风险和特定市场风险。</w:t>
      </w:r>
    </w:p>
    <w:p w14:paraId="0E6651D6" w14:textId="7D4CF0C5" w:rsidR="006F0590" w:rsidRDefault="000D0DA9">
      <w:pPr>
        <w:pStyle w:val="20"/>
        <w:spacing w:line="480" w:lineRule="exact"/>
      </w:pPr>
      <w:r>
        <w:rPr>
          <w:rFonts w:hint="eastAsia"/>
        </w:rPr>
        <w:t>八、交易账簿信用衍生</w:t>
      </w:r>
      <w:r w:rsidR="002D1597">
        <w:rPr>
          <w:rFonts w:hint="eastAsia"/>
        </w:rPr>
        <w:t>工具</w:t>
      </w:r>
    </w:p>
    <w:p w14:paraId="065E3E96" w14:textId="062A0CCE" w:rsidR="006F0590" w:rsidRDefault="000D0DA9">
      <w:pPr>
        <w:spacing w:line="480" w:lineRule="exact"/>
        <w:ind w:firstLineChars="200" w:firstLine="600"/>
        <w:rPr>
          <w:rFonts w:ascii="仿宋_GB2312" w:eastAsia="仿宋_GB2312"/>
          <w:sz w:val="30"/>
          <w:szCs w:val="30"/>
        </w:rPr>
      </w:pPr>
      <w:r>
        <w:rPr>
          <w:rFonts w:ascii="仿宋_GB2312" w:eastAsia="仿宋_GB2312" w:hint="eastAsia"/>
          <w:vanish/>
          <w:sz w:val="30"/>
          <w:szCs w:val="30"/>
        </w:rPr>
        <w:cr/>
        <w:t>；行的其他一付将得到银监会批准事先批准</w:t>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sz w:val="30"/>
          <w:szCs w:val="30"/>
        </w:rPr>
        <w:t>商业银行应将交易账簿信用衍生</w:t>
      </w:r>
      <w:r w:rsidR="002D1597">
        <w:rPr>
          <w:rFonts w:ascii="仿宋_GB2312" w:eastAsia="仿宋_GB2312" w:hint="eastAsia"/>
          <w:sz w:val="30"/>
          <w:szCs w:val="30"/>
        </w:rPr>
        <w:t>工具</w:t>
      </w:r>
      <w:r>
        <w:rPr>
          <w:rFonts w:ascii="仿宋_GB2312" w:eastAsia="仿宋_GB2312" w:hint="eastAsia"/>
          <w:sz w:val="30"/>
          <w:szCs w:val="30"/>
        </w:rPr>
        <w:t>转换为相关信用参考实体的本金头寸，并使用其当前市值</w:t>
      </w:r>
      <w:r w:rsidR="00372714">
        <w:rPr>
          <w:rFonts w:ascii="仿宋_GB2312" w:eastAsia="仿宋_GB2312" w:hint="eastAsia"/>
          <w:sz w:val="30"/>
          <w:szCs w:val="30"/>
        </w:rPr>
        <w:t>计量</w:t>
      </w:r>
      <w:r>
        <w:rPr>
          <w:rFonts w:ascii="仿宋_GB2312" w:eastAsia="仿宋_GB2312" w:hint="eastAsia"/>
          <w:sz w:val="30"/>
          <w:szCs w:val="30"/>
        </w:rPr>
        <w:t>利率风险的市场风险资本</w:t>
      </w:r>
      <w:r>
        <w:rPr>
          <w:rFonts w:ascii="仿宋_GB2312" w:eastAsia="仿宋_GB2312" w:hint="eastAsia"/>
          <w:sz w:val="30"/>
          <w:szCs w:val="30"/>
        </w:rPr>
        <w:lastRenderedPageBreak/>
        <w:t>要求。</w:t>
      </w:r>
    </w:p>
    <w:p w14:paraId="6893AAAD" w14:textId="1639F0F0" w:rsidR="006F0590" w:rsidRDefault="000D0DA9">
      <w:pPr>
        <w:snapToGrid w:val="0"/>
        <w:spacing w:line="480" w:lineRule="exact"/>
        <w:jc w:val="center"/>
        <w:rPr>
          <w:rFonts w:ascii="楷体_GB2312" w:eastAsia="楷体_GB2312"/>
          <w:b/>
          <w:sz w:val="28"/>
          <w:szCs w:val="28"/>
        </w:rPr>
      </w:pPr>
      <w:r>
        <w:rPr>
          <w:rFonts w:ascii="楷体_GB2312" w:eastAsia="楷体_GB2312" w:hint="eastAsia"/>
          <w:b/>
          <w:sz w:val="28"/>
          <w:szCs w:val="28"/>
        </w:rPr>
        <w:t>表5 交易账簿信用衍生</w:t>
      </w:r>
      <w:r w:rsidR="00375CB4">
        <w:rPr>
          <w:rFonts w:ascii="楷体_GB2312" w:eastAsia="楷体_GB2312" w:hint="eastAsia"/>
          <w:b/>
          <w:sz w:val="28"/>
          <w:szCs w:val="28"/>
        </w:rPr>
        <w:t>工具</w:t>
      </w:r>
      <w:r>
        <w:rPr>
          <w:rFonts w:ascii="楷体_GB2312" w:eastAsia="楷体_GB2312" w:hint="eastAsia"/>
          <w:b/>
          <w:sz w:val="28"/>
          <w:szCs w:val="28"/>
        </w:rPr>
        <w:t>转换规则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2835"/>
        <w:gridCol w:w="2800"/>
      </w:tblGrid>
      <w:tr w:rsidR="006F0590" w14:paraId="736AB269" w14:textId="77777777">
        <w:trPr>
          <w:trHeight w:val="624"/>
          <w:tblHeader/>
          <w:jc w:val="center"/>
        </w:trPr>
        <w:tc>
          <w:tcPr>
            <w:tcW w:w="3085" w:type="dxa"/>
            <w:gridSpan w:val="2"/>
            <w:vAlign w:val="center"/>
          </w:tcPr>
          <w:p w14:paraId="040792CE" w14:textId="77777777" w:rsidR="006F0590" w:rsidRDefault="000D0DA9">
            <w:pPr>
              <w:jc w:val="center"/>
              <w:rPr>
                <w:rFonts w:ascii="宋体" w:hAnsi="宋体"/>
                <w:b/>
                <w:sz w:val="24"/>
              </w:rPr>
            </w:pPr>
            <w:r>
              <w:rPr>
                <w:rFonts w:ascii="宋体" w:hAnsi="宋体" w:hint="eastAsia"/>
                <w:b/>
                <w:sz w:val="24"/>
              </w:rPr>
              <w:t>产品及风险类别</w:t>
            </w:r>
          </w:p>
        </w:tc>
        <w:tc>
          <w:tcPr>
            <w:tcW w:w="2835" w:type="dxa"/>
            <w:vAlign w:val="center"/>
          </w:tcPr>
          <w:p w14:paraId="3197A827" w14:textId="77777777" w:rsidR="006F0590" w:rsidRDefault="000D0DA9">
            <w:pPr>
              <w:jc w:val="center"/>
              <w:rPr>
                <w:rFonts w:ascii="宋体" w:hAnsi="宋体"/>
                <w:b/>
                <w:sz w:val="24"/>
              </w:rPr>
            </w:pPr>
            <w:r>
              <w:rPr>
                <w:rFonts w:ascii="宋体" w:hAnsi="宋体" w:hint="eastAsia"/>
                <w:b/>
                <w:sz w:val="24"/>
              </w:rPr>
              <w:t>多头</w:t>
            </w:r>
            <w:r>
              <w:rPr>
                <w:rFonts w:ascii="宋体" w:hAnsi="宋体"/>
                <w:b/>
                <w:sz w:val="24"/>
              </w:rPr>
              <w:t xml:space="preserve">/ </w:t>
            </w:r>
            <w:r>
              <w:rPr>
                <w:rFonts w:ascii="宋体" w:hAnsi="宋体" w:hint="eastAsia"/>
                <w:b/>
                <w:sz w:val="24"/>
              </w:rPr>
              <w:t>信用保护卖方</w:t>
            </w:r>
          </w:p>
        </w:tc>
        <w:tc>
          <w:tcPr>
            <w:tcW w:w="2800" w:type="dxa"/>
            <w:vAlign w:val="center"/>
          </w:tcPr>
          <w:p w14:paraId="221AA64E" w14:textId="77777777" w:rsidR="006F0590" w:rsidRDefault="000D0DA9">
            <w:pPr>
              <w:jc w:val="center"/>
              <w:rPr>
                <w:rFonts w:ascii="宋体" w:hAnsi="宋体"/>
                <w:b/>
                <w:sz w:val="24"/>
              </w:rPr>
            </w:pPr>
            <w:r>
              <w:rPr>
                <w:rFonts w:ascii="宋体" w:hAnsi="宋体" w:hint="eastAsia"/>
                <w:b/>
                <w:sz w:val="24"/>
              </w:rPr>
              <w:t>空头</w:t>
            </w:r>
            <w:r>
              <w:rPr>
                <w:rFonts w:ascii="宋体" w:hAnsi="宋体"/>
                <w:b/>
                <w:sz w:val="24"/>
              </w:rPr>
              <w:t xml:space="preserve">/ </w:t>
            </w:r>
            <w:r>
              <w:rPr>
                <w:rFonts w:ascii="宋体" w:hAnsi="宋体" w:hint="eastAsia"/>
                <w:b/>
                <w:sz w:val="24"/>
              </w:rPr>
              <w:t>信用保护买方</w:t>
            </w:r>
          </w:p>
        </w:tc>
      </w:tr>
      <w:tr w:rsidR="006F0590" w14:paraId="06E20A3A" w14:textId="77777777">
        <w:trPr>
          <w:trHeight w:val="624"/>
          <w:jc w:val="center"/>
        </w:trPr>
        <w:tc>
          <w:tcPr>
            <w:tcW w:w="2093" w:type="dxa"/>
            <w:vMerge w:val="restart"/>
          </w:tcPr>
          <w:p w14:paraId="5F4B4933" w14:textId="47DCE035" w:rsidR="006F0590" w:rsidRDefault="00375CB4">
            <w:pPr>
              <w:rPr>
                <w:rFonts w:ascii="宋体" w:hAnsi="宋体"/>
                <w:sz w:val="24"/>
              </w:rPr>
            </w:pPr>
            <w:r>
              <w:rPr>
                <w:rFonts w:ascii="宋体" w:hAnsi="宋体"/>
                <w:kern w:val="0"/>
                <w:sz w:val="24"/>
              </w:rPr>
              <w:t>信用违约互换</w:t>
            </w:r>
            <w:r>
              <w:rPr>
                <w:rFonts w:ascii="宋体" w:hAnsi="宋体" w:hint="eastAsia"/>
                <w:kern w:val="0"/>
                <w:sz w:val="24"/>
              </w:rPr>
              <w:t>、信用违约互换指数、信用风险缓释凭证、信用保护合约、信用保护凭证等具有上述产品功能的信用衍生工具</w:t>
            </w:r>
          </w:p>
        </w:tc>
        <w:tc>
          <w:tcPr>
            <w:tcW w:w="992" w:type="dxa"/>
          </w:tcPr>
          <w:p w14:paraId="66440876" w14:textId="77777777" w:rsidR="006F0590" w:rsidRDefault="000D0DA9">
            <w:pPr>
              <w:jc w:val="left"/>
              <w:rPr>
                <w:rFonts w:ascii="宋体" w:hAnsi="宋体"/>
                <w:sz w:val="24"/>
              </w:rPr>
            </w:pPr>
            <w:r>
              <w:rPr>
                <w:rFonts w:ascii="宋体" w:hAnsi="宋体" w:hint="eastAsia"/>
                <w:sz w:val="24"/>
              </w:rPr>
              <w:t>一般市场风险</w:t>
            </w:r>
          </w:p>
        </w:tc>
        <w:tc>
          <w:tcPr>
            <w:tcW w:w="2835" w:type="dxa"/>
          </w:tcPr>
          <w:p w14:paraId="5B057606" w14:textId="77777777" w:rsidR="006F0590" w:rsidRDefault="000D0DA9">
            <w:pPr>
              <w:rPr>
                <w:rFonts w:ascii="宋体" w:hAnsi="宋体"/>
                <w:sz w:val="24"/>
              </w:rPr>
            </w:pPr>
            <w:r>
              <w:rPr>
                <w:rFonts w:ascii="宋体" w:hAnsi="宋体" w:hint="eastAsia"/>
                <w:sz w:val="24"/>
              </w:rPr>
              <w:t>如工具存续期间有任何费用或利息的支付，则视为持有无特定市场风险债券多头</w:t>
            </w:r>
          </w:p>
        </w:tc>
        <w:tc>
          <w:tcPr>
            <w:tcW w:w="2800" w:type="dxa"/>
          </w:tcPr>
          <w:p w14:paraId="7B8DB83E" w14:textId="77777777" w:rsidR="006F0590" w:rsidRDefault="000D0DA9">
            <w:pPr>
              <w:rPr>
                <w:rFonts w:ascii="宋体" w:hAnsi="宋体"/>
                <w:sz w:val="24"/>
              </w:rPr>
            </w:pPr>
            <w:r>
              <w:rPr>
                <w:rFonts w:ascii="宋体" w:hAnsi="宋体" w:hint="eastAsia"/>
                <w:sz w:val="24"/>
              </w:rPr>
              <w:t>如工具存续期间有任何费用或利息的支付，则视为卖出无特定市场风险债券空头</w:t>
            </w:r>
          </w:p>
        </w:tc>
      </w:tr>
      <w:tr w:rsidR="006F0590" w14:paraId="28033CCC" w14:textId="77777777">
        <w:trPr>
          <w:trHeight w:val="624"/>
          <w:jc w:val="center"/>
        </w:trPr>
        <w:tc>
          <w:tcPr>
            <w:tcW w:w="2093" w:type="dxa"/>
            <w:vMerge/>
          </w:tcPr>
          <w:p w14:paraId="28AF1589" w14:textId="77777777" w:rsidR="006F0590" w:rsidRDefault="006F0590">
            <w:pPr>
              <w:rPr>
                <w:rFonts w:ascii="宋体" w:hAnsi="宋体"/>
                <w:sz w:val="24"/>
              </w:rPr>
            </w:pPr>
          </w:p>
        </w:tc>
        <w:tc>
          <w:tcPr>
            <w:tcW w:w="992" w:type="dxa"/>
          </w:tcPr>
          <w:p w14:paraId="5FD9E0AA" w14:textId="77777777" w:rsidR="006F0590" w:rsidRDefault="000D0DA9">
            <w:pPr>
              <w:jc w:val="left"/>
              <w:rPr>
                <w:rFonts w:ascii="宋体" w:hAnsi="宋体"/>
                <w:sz w:val="24"/>
              </w:rPr>
            </w:pPr>
            <w:r>
              <w:rPr>
                <w:rFonts w:ascii="宋体" w:hAnsi="宋体" w:hint="eastAsia"/>
                <w:sz w:val="24"/>
              </w:rPr>
              <w:t>特定市场风险</w:t>
            </w:r>
          </w:p>
        </w:tc>
        <w:tc>
          <w:tcPr>
            <w:tcW w:w="2835" w:type="dxa"/>
          </w:tcPr>
          <w:p w14:paraId="448CC6EE" w14:textId="5609AD7F" w:rsidR="006F0590" w:rsidRDefault="000D0DA9">
            <w:pPr>
              <w:rPr>
                <w:rFonts w:ascii="宋体" w:hAnsi="宋体"/>
                <w:sz w:val="24"/>
              </w:rPr>
            </w:pPr>
            <w:r>
              <w:rPr>
                <w:rFonts w:ascii="宋体" w:hAnsi="宋体" w:hint="eastAsia"/>
                <w:sz w:val="24"/>
              </w:rPr>
              <w:t>视为持有信用参考实体</w:t>
            </w:r>
            <w:r w:rsidR="00C15F32">
              <w:rPr>
                <w:rFonts w:ascii="宋体" w:hAnsi="宋体" w:hint="eastAsia"/>
                <w:sz w:val="24"/>
              </w:rPr>
              <w:t>多头</w:t>
            </w:r>
            <w:r>
              <w:rPr>
                <w:rFonts w:ascii="宋体" w:hAnsi="宋体" w:hint="eastAsia"/>
                <w:sz w:val="24"/>
              </w:rPr>
              <w:t>或债项多头</w:t>
            </w:r>
          </w:p>
        </w:tc>
        <w:tc>
          <w:tcPr>
            <w:tcW w:w="2800" w:type="dxa"/>
          </w:tcPr>
          <w:p w14:paraId="67B864E3" w14:textId="0A087C54" w:rsidR="006F0590" w:rsidRDefault="000D0DA9">
            <w:pPr>
              <w:rPr>
                <w:rFonts w:ascii="宋体" w:hAnsi="宋体"/>
                <w:sz w:val="24"/>
              </w:rPr>
            </w:pPr>
            <w:r>
              <w:rPr>
                <w:rFonts w:ascii="宋体" w:hAnsi="宋体" w:hint="eastAsia"/>
                <w:sz w:val="24"/>
              </w:rPr>
              <w:t>视为持有信用参考实体</w:t>
            </w:r>
            <w:r w:rsidR="00AD49C2">
              <w:rPr>
                <w:rFonts w:ascii="宋体" w:hAnsi="宋体" w:hint="eastAsia"/>
                <w:sz w:val="24"/>
              </w:rPr>
              <w:t>空头</w:t>
            </w:r>
            <w:r>
              <w:rPr>
                <w:rFonts w:ascii="宋体" w:hAnsi="宋体" w:hint="eastAsia"/>
                <w:sz w:val="24"/>
              </w:rPr>
              <w:t>或债项空头</w:t>
            </w:r>
          </w:p>
        </w:tc>
      </w:tr>
      <w:tr w:rsidR="006F0590" w14:paraId="5833661E" w14:textId="77777777">
        <w:trPr>
          <w:trHeight w:val="624"/>
          <w:jc w:val="center"/>
        </w:trPr>
        <w:tc>
          <w:tcPr>
            <w:tcW w:w="2093" w:type="dxa"/>
            <w:vMerge w:val="restart"/>
          </w:tcPr>
          <w:p w14:paraId="1F4019E8" w14:textId="7F9233DB" w:rsidR="006F0590" w:rsidRDefault="00375CB4">
            <w:pPr>
              <w:rPr>
                <w:rFonts w:ascii="宋体" w:hAnsi="宋体"/>
                <w:sz w:val="24"/>
              </w:rPr>
            </w:pPr>
            <w:r>
              <w:rPr>
                <w:rFonts w:ascii="宋体" w:hAnsi="宋体" w:hint="eastAsia"/>
                <w:sz w:val="24"/>
              </w:rPr>
              <w:t>具有总收益互换功能的信用衍生工具</w:t>
            </w:r>
          </w:p>
        </w:tc>
        <w:tc>
          <w:tcPr>
            <w:tcW w:w="992" w:type="dxa"/>
          </w:tcPr>
          <w:p w14:paraId="792E8ACE" w14:textId="77777777" w:rsidR="006F0590" w:rsidRDefault="000D0DA9">
            <w:pPr>
              <w:jc w:val="left"/>
              <w:rPr>
                <w:rFonts w:ascii="宋体" w:hAnsi="宋体"/>
                <w:sz w:val="24"/>
              </w:rPr>
            </w:pPr>
            <w:r>
              <w:rPr>
                <w:rFonts w:ascii="宋体" w:hAnsi="宋体" w:hint="eastAsia"/>
                <w:sz w:val="24"/>
              </w:rPr>
              <w:t>一般市场风险</w:t>
            </w:r>
          </w:p>
        </w:tc>
        <w:tc>
          <w:tcPr>
            <w:tcW w:w="2835" w:type="dxa"/>
          </w:tcPr>
          <w:p w14:paraId="09900384" w14:textId="28856EA4" w:rsidR="006F0590" w:rsidRDefault="000D0DA9">
            <w:pPr>
              <w:rPr>
                <w:rFonts w:ascii="宋体" w:hAnsi="宋体"/>
                <w:sz w:val="24"/>
              </w:rPr>
            </w:pPr>
            <w:r>
              <w:rPr>
                <w:rFonts w:ascii="宋体" w:hAnsi="宋体" w:hint="eastAsia"/>
                <w:sz w:val="24"/>
              </w:rPr>
              <w:t>如工具存续期间有任何费用或利息的支付，则视为持有信用参考实体</w:t>
            </w:r>
            <w:r w:rsidR="00C15F32">
              <w:rPr>
                <w:rFonts w:ascii="宋体" w:hAnsi="宋体" w:hint="eastAsia"/>
                <w:sz w:val="24"/>
              </w:rPr>
              <w:t>多头</w:t>
            </w:r>
            <w:r>
              <w:rPr>
                <w:rFonts w:ascii="宋体" w:hAnsi="宋体" w:hint="eastAsia"/>
                <w:sz w:val="24"/>
              </w:rPr>
              <w:t>或债项多头，及卖出无特定市场风险债券空头</w:t>
            </w:r>
          </w:p>
        </w:tc>
        <w:tc>
          <w:tcPr>
            <w:tcW w:w="2800" w:type="dxa"/>
          </w:tcPr>
          <w:p w14:paraId="74E38A09" w14:textId="45AC96DD" w:rsidR="006F0590" w:rsidRDefault="000D0DA9">
            <w:pPr>
              <w:rPr>
                <w:rFonts w:ascii="宋体" w:hAnsi="宋体"/>
                <w:sz w:val="24"/>
              </w:rPr>
            </w:pPr>
            <w:r>
              <w:rPr>
                <w:rFonts w:ascii="宋体" w:hAnsi="宋体" w:hint="eastAsia"/>
                <w:sz w:val="24"/>
              </w:rPr>
              <w:t>如工具存续期间有任何费用或利息的支付，则视为卖出信用参考实体或债项，及持有无特定市场风险债券多头</w:t>
            </w:r>
          </w:p>
        </w:tc>
      </w:tr>
      <w:tr w:rsidR="006F0590" w14:paraId="6C59526D" w14:textId="77777777">
        <w:trPr>
          <w:trHeight w:val="624"/>
          <w:jc w:val="center"/>
        </w:trPr>
        <w:tc>
          <w:tcPr>
            <w:tcW w:w="2093" w:type="dxa"/>
            <w:vMerge/>
          </w:tcPr>
          <w:p w14:paraId="46E167A3" w14:textId="77777777" w:rsidR="006F0590" w:rsidRDefault="006F0590">
            <w:pPr>
              <w:rPr>
                <w:rFonts w:ascii="宋体" w:hAnsi="宋体"/>
                <w:sz w:val="24"/>
              </w:rPr>
            </w:pPr>
          </w:p>
        </w:tc>
        <w:tc>
          <w:tcPr>
            <w:tcW w:w="992" w:type="dxa"/>
          </w:tcPr>
          <w:p w14:paraId="5051B0C8" w14:textId="77777777" w:rsidR="006F0590" w:rsidRDefault="000D0DA9">
            <w:pPr>
              <w:jc w:val="left"/>
              <w:rPr>
                <w:rFonts w:ascii="宋体" w:hAnsi="宋体"/>
                <w:sz w:val="24"/>
              </w:rPr>
            </w:pPr>
            <w:r>
              <w:rPr>
                <w:rFonts w:ascii="宋体" w:hAnsi="宋体" w:hint="eastAsia"/>
                <w:sz w:val="24"/>
              </w:rPr>
              <w:t>特定市场风险</w:t>
            </w:r>
          </w:p>
        </w:tc>
        <w:tc>
          <w:tcPr>
            <w:tcW w:w="2835" w:type="dxa"/>
          </w:tcPr>
          <w:p w14:paraId="68F7B6F4" w14:textId="77777777" w:rsidR="006F0590" w:rsidRDefault="000D0DA9">
            <w:pPr>
              <w:rPr>
                <w:rFonts w:ascii="宋体" w:hAnsi="宋体"/>
                <w:sz w:val="24"/>
              </w:rPr>
            </w:pPr>
            <w:r>
              <w:rPr>
                <w:rFonts w:ascii="宋体" w:hAnsi="宋体" w:hint="eastAsia"/>
                <w:sz w:val="24"/>
              </w:rPr>
              <w:t>视为持有信用参考实体或债项多头</w:t>
            </w:r>
          </w:p>
        </w:tc>
        <w:tc>
          <w:tcPr>
            <w:tcW w:w="2800" w:type="dxa"/>
          </w:tcPr>
          <w:p w14:paraId="0232A7BB" w14:textId="77777777" w:rsidR="006F0590" w:rsidRDefault="000D0DA9">
            <w:pPr>
              <w:rPr>
                <w:rFonts w:ascii="宋体" w:hAnsi="宋体"/>
                <w:sz w:val="24"/>
              </w:rPr>
            </w:pPr>
            <w:r>
              <w:rPr>
                <w:rFonts w:ascii="宋体" w:hAnsi="宋体" w:hint="eastAsia"/>
                <w:sz w:val="24"/>
              </w:rPr>
              <w:t>视为卖出信用参考实体或债项空头</w:t>
            </w:r>
          </w:p>
        </w:tc>
      </w:tr>
      <w:tr w:rsidR="006F0590" w14:paraId="522ACB1E" w14:textId="77777777">
        <w:trPr>
          <w:trHeight w:val="624"/>
          <w:jc w:val="center"/>
        </w:trPr>
        <w:tc>
          <w:tcPr>
            <w:tcW w:w="2093" w:type="dxa"/>
            <w:vMerge w:val="restart"/>
          </w:tcPr>
          <w:p w14:paraId="39BC00DC" w14:textId="77777777" w:rsidR="006F0590" w:rsidRDefault="000D0DA9">
            <w:pPr>
              <w:rPr>
                <w:rFonts w:ascii="宋体" w:hAnsi="宋体"/>
                <w:sz w:val="24"/>
              </w:rPr>
            </w:pPr>
            <w:r>
              <w:rPr>
                <w:rFonts w:ascii="宋体" w:hAnsi="宋体" w:hint="eastAsia"/>
                <w:sz w:val="24"/>
              </w:rPr>
              <w:t>信用联结票据</w:t>
            </w:r>
          </w:p>
        </w:tc>
        <w:tc>
          <w:tcPr>
            <w:tcW w:w="992" w:type="dxa"/>
          </w:tcPr>
          <w:p w14:paraId="7C79B9A1" w14:textId="77777777" w:rsidR="006F0590" w:rsidRDefault="000D0DA9">
            <w:pPr>
              <w:jc w:val="left"/>
              <w:rPr>
                <w:rFonts w:ascii="宋体" w:hAnsi="宋体"/>
                <w:sz w:val="24"/>
              </w:rPr>
            </w:pPr>
            <w:r>
              <w:rPr>
                <w:rFonts w:ascii="宋体" w:hAnsi="宋体" w:hint="eastAsia"/>
                <w:sz w:val="24"/>
              </w:rPr>
              <w:t>一般市场风险</w:t>
            </w:r>
          </w:p>
        </w:tc>
        <w:tc>
          <w:tcPr>
            <w:tcW w:w="2835" w:type="dxa"/>
          </w:tcPr>
          <w:p w14:paraId="64D36127" w14:textId="5A773B4E" w:rsidR="006F0590" w:rsidRDefault="000D0DA9">
            <w:pPr>
              <w:rPr>
                <w:rFonts w:ascii="宋体" w:hAnsi="宋体"/>
                <w:sz w:val="24"/>
              </w:rPr>
            </w:pPr>
            <w:r>
              <w:rPr>
                <w:rFonts w:ascii="宋体" w:hAnsi="宋体" w:hint="eastAsia"/>
                <w:sz w:val="24"/>
              </w:rPr>
              <w:t>视为持有票据</w:t>
            </w:r>
            <w:r w:rsidR="00C15F32">
              <w:rPr>
                <w:rFonts w:ascii="宋体" w:hAnsi="宋体" w:hint="eastAsia"/>
                <w:sz w:val="24"/>
              </w:rPr>
              <w:t>发行方</w:t>
            </w:r>
            <w:r>
              <w:rPr>
                <w:rFonts w:ascii="宋体" w:hAnsi="宋体" w:hint="eastAsia"/>
                <w:sz w:val="24"/>
              </w:rPr>
              <w:t>多头</w:t>
            </w:r>
          </w:p>
        </w:tc>
        <w:tc>
          <w:tcPr>
            <w:tcW w:w="2800" w:type="dxa"/>
          </w:tcPr>
          <w:p w14:paraId="1C430530" w14:textId="36829C0E" w:rsidR="006F0590" w:rsidRDefault="000D0DA9">
            <w:pPr>
              <w:rPr>
                <w:rFonts w:ascii="宋体" w:hAnsi="宋体"/>
                <w:sz w:val="24"/>
              </w:rPr>
            </w:pPr>
            <w:r>
              <w:rPr>
                <w:rFonts w:ascii="宋体" w:hAnsi="宋体" w:hint="eastAsia"/>
                <w:sz w:val="24"/>
              </w:rPr>
              <w:t>视为卖出票据</w:t>
            </w:r>
            <w:r w:rsidR="00C15F32">
              <w:rPr>
                <w:rFonts w:ascii="宋体" w:hAnsi="宋体" w:hint="eastAsia"/>
                <w:sz w:val="24"/>
              </w:rPr>
              <w:t>发行方</w:t>
            </w:r>
            <w:r>
              <w:rPr>
                <w:rFonts w:ascii="宋体" w:hAnsi="宋体" w:hint="eastAsia"/>
                <w:sz w:val="24"/>
              </w:rPr>
              <w:t>空头</w:t>
            </w:r>
          </w:p>
        </w:tc>
      </w:tr>
      <w:tr w:rsidR="006F0590" w14:paraId="64962D29" w14:textId="77777777">
        <w:trPr>
          <w:trHeight w:val="624"/>
          <w:jc w:val="center"/>
        </w:trPr>
        <w:tc>
          <w:tcPr>
            <w:tcW w:w="2093" w:type="dxa"/>
            <w:vMerge/>
          </w:tcPr>
          <w:p w14:paraId="4EBF1F14" w14:textId="77777777" w:rsidR="006F0590" w:rsidRDefault="006F0590">
            <w:pPr>
              <w:jc w:val="left"/>
              <w:rPr>
                <w:rFonts w:ascii="宋体" w:hAnsi="宋体"/>
                <w:sz w:val="24"/>
              </w:rPr>
            </w:pPr>
          </w:p>
        </w:tc>
        <w:tc>
          <w:tcPr>
            <w:tcW w:w="992" w:type="dxa"/>
          </w:tcPr>
          <w:p w14:paraId="151832A9" w14:textId="77777777" w:rsidR="006F0590" w:rsidRDefault="000D0DA9">
            <w:pPr>
              <w:jc w:val="left"/>
              <w:rPr>
                <w:rFonts w:ascii="宋体" w:hAnsi="宋体"/>
                <w:sz w:val="24"/>
              </w:rPr>
            </w:pPr>
            <w:r>
              <w:rPr>
                <w:rFonts w:ascii="宋体" w:hAnsi="宋体" w:hint="eastAsia"/>
                <w:sz w:val="24"/>
              </w:rPr>
              <w:t>特定市场风险</w:t>
            </w:r>
          </w:p>
        </w:tc>
        <w:tc>
          <w:tcPr>
            <w:tcW w:w="2835" w:type="dxa"/>
          </w:tcPr>
          <w:p w14:paraId="5C5C428D" w14:textId="1662D179" w:rsidR="006F0590" w:rsidRDefault="000D0DA9">
            <w:pPr>
              <w:rPr>
                <w:rFonts w:ascii="宋体" w:hAnsi="宋体"/>
                <w:sz w:val="24"/>
              </w:rPr>
            </w:pPr>
            <w:r>
              <w:rPr>
                <w:rFonts w:ascii="宋体" w:hAnsi="宋体" w:hint="eastAsia"/>
                <w:sz w:val="24"/>
              </w:rPr>
              <w:t>视为持有票据发行方以及信用参考实体</w:t>
            </w:r>
            <w:r w:rsidR="00C15F32">
              <w:rPr>
                <w:rFonts w:ascii="宋体" w:hAnsi="宋体" w:hint="eastAsia"/>
                <w:sz w:val="24"/>
              </w:rPr>
              <w:t>多头</w:t>
            </w:r>
            <w:r>
              <w:rPr>
                <w:rFonts w:ascii="宋体" w:hAnsi="宋体" w:hint="eastAsia"/>
                <w:sz w:val="24"/>
              </w:rPr>
              <w:t>或债项多头</w:t>
            </w:r>
            <w:r>
              <w:rPr>
                <w:rFonts w:ascii="宋体" w:hAnsi="宋体"/>
                <w:sz w:val="24"/>
              </w:rPr>
              <w:t xml:space="preserve"> </w:t>
            </w:r>
          </w:p>
        </w:tc>
        <w:tc>
          <w:tcPr>
            <w:tcW w:w="2800" w:type="dxa"/>
          </w:tcPr>
          <w:p w14:paraId="5A720E29" w14:textId="6230BC09" w:rsidR="006F0590" w:rsidRDefault="000D0DA9">
            <w:pPr>
              <w:rPr>
                <w:rFonts w:ascii="宋体" w:hAnsi="宋体"/>
                <w:sz w:val="24"/>
              </w:rPr>
            </w:pPr>
            <w:r>
              <w:rPr>
                <w:rFonts w:ascii="宋体" w:hAnsi="宋体" w:hint="eastAsia"/>
                <w:sz w:val="24"/>
              </w:rPr>
              <w:t>视为卖出信用参考实体</w:t>
            </w:r>
            <w:r w:rsidR="00C15F32">
              <w:rPr>
                <w:rFonts w:ascii="宋体" w:hAnsi="宋体" w:hint="eastAsia"/>
                <w:sz w:val="24"/>
              </w:rPr>
              <w:t>空头</w:t>
            </w:r>
            <w:r>
              <w:rPr>
                <w:rFonts w:ascii="宋体" w:hAnsi="宋体" w:hint="eastAsia"/>
                <w:sz w:val="24"/>
              </w:rPr>
              <w:t>或债项空头</w:t>
            </w:r>
          </w:p>
        </w:tc>
      </w:tr>
      <w:tr w:rsidR="006F0590" w14:paraId="27CED472" w14:textId="77777777">
        <w:trPr>
          <w:trHeight w:val="624"/>
          <w:jc w:val="center"/>
        </w:trPr>
        <w:tc>
          <w:tcPr>
            <w:tcW w:w="2093" w:type="dxa"/>
            <w:vMerge w:val="restart"/>
          </w:tcPr>
          <w:p w14:paraId="704F57CE" w14:textId="77777777" w:rsidR="006F0590" w:rsidRDefault="000D0DA9">
            <w:pPr>
              <w:rPr>
                <w:rFonts w:ascii="宋体" w:hAnsi="宋体"/>
                <w:sz w:val="24"/>
              </w:rPr>
            </w:pPr>
            <w:r>
              <w:rPr>
                <w:rFonts w:ascii="宋体" w:hAnsi="宋体" w:hint="eastAsia"/>
                <w:sz w:val="24"/>
              </w:rPr>
              <w:t>首次违约信用互换</w:t>
            </w:r>
          </w:p>
        </w:tc>
        <w:tc>
          <w:tcPr>
            <w:tcW w:w="992" w:type="dxa"/>
          </w:tcPr>
          <w:p w14:paraId="2EE878D7" w14:textId="77777777" w:rsidR="006F0590" w:rsidRDefault="000D0DA9">
            <w:pPr>
              <w:jc w:val="left"/>
              <w:rPr>
                <w:rFonts w:ascii="宋体" w:hAnsi="宋体"/>
                <w:sz w:val="24"/>
              </w:rPr>
            </w:pPr>
            <w:r>
              <w:rPr>
                <w:rFonts w:ascii="宋体" w:hAnsi="宋体" w:hint="eastAsia"/>
                <w:sz w:val="24"/>
              </w:rPr>
              <w:t>一般市场风险</w:t>
            </w:r>
          </w:p>
        </w:tc>
        <w:tc>
          <w:tcPr>
            <w:tcW w:w="2835" w:type="dxa"/>
          </w:tcPr>
          <w:p w14:paraId="2770A573" w14:textId="77777777" w:rsidR="006F0590" w:rsidRDefault="000D0DA9">
            <w:pPr>
              <w:rPr>
                <w:rFonts w:ascii="宋体" w:hAnsi="宋体"/>
                <w:sz w:val="24"/>
              </w:rPr>
            </w:pPr>
            <w:r>
              <w:rPr>
                <w:rFonts w:ascii="宋体" w:hAnsi="宋体" w:hint="eastAsia"/>
                <w:sz w:val="24"/>
              </w:rPr>
              <w:t>如工具存续期间有任何费用或利息的支付，则视为持有无特定市场风险债券多头</w:t>
            </w:r>
          </w:p>
        </w:tc>
        <w:tc>
          <w:tcPr>
            <w:tcW w:w="2800" w:type="dxa"/>
          </w:tcPr>
          <w:p w14:paraId="27880259" w14:textId="77777777" w:rsidR="006F0590" w:rsidRDefault="000D0DA9">
            <w:pPr>
              <w:rPr>
                <w:rFonts w:ascii="宋体" w:hAnsi="宋体"/>
                <w:sz w:val="24"/>
              </w:rPr>
            </w:pPr>
            <w:r>
              <w:rPr>
                <w:rFonts w:ascii="宋体" w:hAnsi="宋体" w:hint="eastAsia"/>
                <w:sz w:val="24"/>
              </w:rPr>
              <w:t>如工具存续期间有任何费用或利息的支付，则视为卖出无特定市场风险债券空头</w:t>
            </w:r>
          </w:p>
        </w:tc>
      </w:tr>
      <w:tr w:rsidR="006F0590" w14:paraId="7DF3505F" w14:textId="77777777">
        <w:trPr>
          <w:trHeight w:val="624"/>
          <w:jc w:val="center"/>
        </w:trPr>
        <w:tc>
          <w:tcPr>
            <w:tcW w:w="2093" w:type="dxa"/>
            <w:vMerge/>
          </w:tcPr>
          <w:p w14:paraId="44B8D129" w14:textId="77777777" w:rsidR="006F0590" w:rsidRDefault="006F0590">
            <w:pPr>
              <w:rPr>
                <w:rFonts w:ascii="宋体" w:hAnsi="宋体"/>
                <w:sz w:val="24"/>
              </w:rPr>
            </w:pPr>
          </w:p>
        </w:tc>
        <w:tc>
          <w:tcPr>
            <w:tcW w:w="992" w:type="dxa"/>
          </w:tcPr>
          <w:p w14:paraId="013CF122" w14:textId="77777777" w:rsidR="006F0590" w:rsidRDefault="000D0DA9">
            <w:pPr>
              <w:jc w:val="left"/>
              <w:rPr>
                <w:rFonts w:ascii="宋体" w:hAnsi="宋体"/>
                <w:sz w:val="24"/>
              </w:rPr>
            </w:pPr>
            <w:r>
              <w:rPr>
                <w:rFonts w:ascii="宋体" w:hAnsi="宋体" w:hint="eastAsia"/>
                <w:sz w:val="24"/>
              </w:rPr>
              <w:t>特定市场风险</w:t>
            </w:r>
          </w:p>
        </w:tc>
        <w:tc>
          <w:tcPr>
            <w:tcW w:w="2835" w:type="dxa"/>
          </w:tcPr>
          <w:p w14:paraId="19FB53A9" w14:textId="352BBC5B" w:rsidR="006F0590" w:rsidRDefault="000D0DA9">
            <w:pPr>
              <w:rPr>
                <w:rFonts w:ascii="宋体" w:hAnsi="宋体"/>
                <w:sz w:val="24"/>
              </w:rPr>
            </w:pPr>
            <w:r>
              <w:rPr>
                <w:rFonts w:ascii="宋体" w:hAnsi="宋体" w:hint="eastAsia"/>
                <w:sz w:val="24"/>
              </w:rPr>
              <w:t>视为持有所有参考实体</w:t>
            </w:r>
            <w:r w:rsidR="00C15F32">
              <w:rPr>
                <w:rFonts w:ascii="宋体" w:hAnsi="宋体" w:hint="eastAsia"/>
                <w:sz w:val="24"/>
              </w:rPr>
              <w:t>多头</w:t>
            </w:r>
            <w:r>
              <w:rPr>
                <w:rFonts w:ascii="宋体" w:hAnsi="宋体" w:hint="eastAsia"/>
                <w:sz w:val="24"/>
              </w:rPr>
              <w:t>或债项多头，特定市场风险资本要求为所有参考实体或债项的特定风险资本要求之和，且以发生信用事件时的最大可能支出作为上限</w:t>
            </w:r>
          </w:p>
        </w:tc>
        <w:tc>
          <w:tcPr>
            <w:tcW w:w="2800" w:type="dxa"/>
          </w:tcPr>
          <w:p w14:paraId="59C5379C" w14:textId="46745EB6" w:rsidR="006F0590" w:rsidRDefault="000D0DA9">
            <w:pPr>
              <w:rPr>
                <w:rFonts w:ascii="宋体" w:hAnsi="宋体"/>
                <w:sz w:val="24"/>
              </w:rPr>
            </w:pPr>
            <w:r>
              <w:rPr>
                <w:rFonts w:ascii="宋体" w:hAnsi="宋体" w:hint="eastAsia"/>
                <w:sz w:val="24"/>
              </w:rPr>
              <w:t>视为卖出特定市场风险资本要求最高的参考实体</w:t>
            </w:r>
            <w:r w:rsidR="00C15F32">
              <w:rPr>
                <w:rFonts w:ascii="宋体" w:hAnsi="宋体" w:hint="eastAsia"/>
                <w:sz w:val="24"/>
              </w:rPr>
              <w:t>空头</w:t>
            </w:r>
            <w:r>
              <w:rPr>
                <w:rFonts w:ascii="宋体" w:hAnsi="宋体" w:hint="eastAsia"/>
                <w:sz w:val="24"/>
              </w:rPr>
              <w:t>或债项空头（针对不符合对冲抵消条件的头寸）；或视为卖出参考实体</w:t>
            </w:r>
            <w:r w:rsidR="00C15F32">
              <w:rPr>
                <w:rFonts w:ascii="宋体" w:hAnsi="宋体" w:hint="eastAsia"/>
                <w:sz w:val="24"/>
              </w:rPr>
              <w:t>空头</w:t>
            </w:r>
            <w:r>
              <w:rPr>
                <w:rFonts w:ascii="宋体" w:hAnsi="宋体" w:hint="eastAsia"/>
                <w:sz w:val="24"/>
              </w:rPr>
              <w:t>或债项空头（针对符合对冲抵消条件的头寸），若银行持有首次违约信用互换中的多个参考信用工具头寸，则抵消仅限于特定风险资本</w:t>
            </w:r>
            <w:r>
              <w:rPr>
                <w:rFonts w:ascii="宋体" w:hAnsi="宋体" w:hint="eastAsia"/>
                <w:sz w:val="24"/>
              </w:rPr>
              <w:lastRenderedPageBreak/>
              <w:t>要求最低的参考信用工具</w:t>
            </w:r>
          </w:p>
        </w:tc>
      </w:tr>
      <w:tr w:rsidR="006F0590" w14:paraId="099E03DB" w14:textId="77777777">
        <w:trPr>
          <w:trHeight w:val="624"/>
          <w:jc w:val="center"/>
        </w:trPr>
        <w:tc>
          <w:tcPr>
            <w:tcW w:w="2093" w:type="dxa"/>
            <w:vMerge w:val="restart"/>
          </w:tcPr>
          <w:p w14:paraId="7A5F35DC" w14:textId="77777777" w:rsidR="006F0590" w:rsidRDefault="000D0DA9">
            <w:pPr>
              <w:rPr>
                <w:rFonts w:ascii="宋体" w:hAnsi="宋体"/>
                <w:sz w:val="24"/>
              </w:rPr>
            </w:pPr>
            <w:r>
              <w:rPr>
                <w:rFonts w:ascii="宋体" w:hAnsi="宋体" w:hint="eastAsia"/>
                <w:sz w:val="24"/>
              </w:rPr>
              <w:lastRenderedPageBreak/>
              <w:t>第二次违约信用互换</w:t>
            </w:r>
          </w:p>
        </w:tc>
        <w:tc>
          <w:tcPr>
            <w:tcW w:w="992" w:type="dxa"/>
          </w:tcPr>
          <w:p w14:paraId="31A221BF" w14:textId="77777777" w:rsidR="006F0590" w:rsidRDefault="000D0DA9">
            <w:pPr>
              <w:jc w:val="left"/>
              <w:rPr>
                <w:rFonts w:ascii="宋体" w:hAnsi="宋体"/>
                <w:sz w:val="24"/>
              </w:rPr>
            </w:pPr>
            <w:r>
              <w:rPr>
                <w:rFonts w:ascii="宋体" w:hAnsi="宋体" w:hint="eastAsia"/>
                <w:sz w:val="24"/>
              </w:rPr>
              <w:t>一般市场风险</w:t>
            </w:r>
          </w:p>
        </w:tc>
        <w:tc>
          <w:tcPr>
            <w:tcW w:w="2835" w:type="dxa"/>
          </w:tcPr>
          <w:p w14:paraId="33F57AB9" w14:textId="77777777" w:rsidR="006F0590" w:rsidRDefault="000D0DA9">
            <w:pPr>
              <w:rPr>
                <w:rFonts w:ascii="宋体" w:hAnsi="宋体"/>
                <w:sz w:val="24"/>
              </w:rPr>
            </w:pPr>
            <w:r>
              <w:rPr>
                <w:rFonts w:ascii="宋体" w:hAnsi="宋体" w:hint="eastAsia"/>
                <w:sz w:val="24"/>
              </w:rPr>
              <w:t>如工具存续期间有任何费用或利息的支付，则视为持有无特定市场风险债券多头</w:t>
            </w:r>
          </w:p>
        </w:tc>
        <w:tc>
          <w:tcPr>
            <w:tcW w:w="2800" w:type="dxa"/>
          </w:tcPr>
          <w:p w14:paraId="6B71D8FB" w14:textId="77777777" w:rsidR="006F0590" w:rsidRDefault="000D0DA9">
            <w:pPr>
              <w:rPr>
                <w:rFonts w:ascii="宋体" w:hAnsi="宋体"/>
                <w:sz w:val="24"/>
              </w:rPr>
            </w:pPr>
            <w:r>
              <w:rPr>
                <w:rFonts w:ascii="宋体" w:hAnsi="宋体" w:hint="eastAsia"/>
                <w:sz w:val="24"/>
              </w:rPr>
              <w:t>如工具存续期间有任何费用或利息的支付，则视为卖出无特定市场风险债券空头</w:t>
            </w:r>
          </w:p>
        </w:tc>
      </w:tr>
      <w:tr w:rsidR="006F0590" w14:paraId="61DC24EB" w14:textId="77777777">
        <w:trPr>
          <w:trHeight w:val="624"/>
          <w:jc w:val="center"/>
        </w:trPr>
        <w:tc>
          <w:tcPr>
            <w:tcW w:w="2093" w:type="dxa"/>
            <w:vMerge/>
          </w:tcPr>
          <w:p w14:paraId="0E06A6FA" w14:textId="77777777" w:rsidR="006F0590" w:rsidRDefault="006F0590">
            <w:pPr>
              <w:jc w:val="left"/>
              <w:rPr>
                <w:rFonts w:ascii="宋体" w:hAnsi="宋体"/>
                <w:sz w:val="24"/>
              </w:rPr>
            </w:pPr>
          </w:p>
        </w:tc>
        <w:tc>
          <w:tcPr>
            <w:tcW w:w="992" w:type="dxa"/>
          </w:tcPr>
          <w:p w14:paraId="30408410" w14:textId="77777777" w:rsidR="006F0590" w:rsidRDefault="000D0DA9">
            <w:pPr>
              <w:jc w:val="left"/>
              <w:rPr>
                <w:rFonts w:ascii="宋体" w:hAnsi="宋体"/>
                <w:sz w:val="24"/>
              </w:rPr>
            </w:pPr>
            <w:r>
              <w:rPr>
                <w:rFonts w:ascii="宋体" w:hAnsi="宋体" w:hint="eastAsia"/>
                <w:sz w:val="24"/>
              </w:rPr>
              <w:t>特定市场风险</w:t>
            </w:r>
          </w:p>
        </w:tc>
        <w:tc>
          <w:tcPr>
            <w:tcW w:w="2835" w:type="dxa"/>
          </w:tcPr>
          <w:p w14:paraId="361718FA" w14:textId="58E2A7DB" w:rsidR="006F0590" w:rsidRDefault="000D0DA9">
            <w:pPr>
              <w:rPr>
                <w:rFonts w:ascii="宋体" w:hAnsi="宋体"/>
                <w:sz w:val="24"/>
              </w:rPr>
            </w:pPr>
            <w:r>
              <w:rPr>
                <w:rFonts w:ascii="宋体" w:hAnsi="宋体" w:hint="eastAsia"/>
                <w:sz w:val="24"/>
              </w:rPr>
              <w:t>视为持有所有参考实体</w:t>
            </w:r>
            <w:r w:rsidR="00C15F32">
              <w:rPr>
                <w:rFonts w:ascii="宋体" w:hAnsi="宋体" w:hint="eastAsia"/>
                <w:sz w:val="24"/>
              </w:rPr>
              <w:t>多头</w:t>
            </w:r>
            <w:r>
              <w:rPr>
                <w:rFonts w:ascii="宋体" w:hAnsi="宋体" w:hint="eastAsia"/>
                <w:sz w:val="24"/>
              </w:rPr>
              <w:t>或债项多头，但不包括特定市场风险资本要求最低的信用参考实体</w:t>
            </w:r>
            <w:r w:rsidR="00C15F32">
              <w:rPr>
                <w:rFonts w:ascii="宋体" w:hAnsi="宋体" w:hint="eastAsia"/>
                <w:sz w:val="24"/>
              </w:rPr>
              <w:t>多头</w:t>
            </w:r>
            <w:r>
              <w:rPr>
                <w:rFonts w:ascii="宋体" w:hAnsi="宋体" w:hint="eastAsia"/>
                <w:sz w:val="24"/>
              </w:rPr>
              <w:t>或债项多头，特定市场风险资本要求以发生信用事件时的最大可能支出作为上限</w:t>
            </w:r>
          </w:p>
        </w:tc>
        <w:tc>
          <w:tcPr>
            <w:tcW w:w="2800" w:type="dxa"/>
          </w:tcPr>
          <w:p w14:paraId="2F260D62" w14:textId="31E2D22F" w:rsidR="006F0590" w:rsidRDefault="000D0DA9">
            <w:pPr>
              <w:rPr>
                <w:rFonts w:ascii="宋体" w:hAnsi="宋体"/>
                <w:sz w:val="24"/>
              </w:rPr>
            </w:pPr>
            <w:r>
              <w:rPr>
                <w:rFonts w:ascii="宋体" w:hAnsi="宋体" w:hint="eastAsia"/>
                <w:sz w:val="24"/>
              </w:rPr>
              <w:t>视为卖出特定市场风险资本要求最高的参考实体</w:t>
            </w:r>
            <w:r w:rsidR="00C15F32">
              <w:rPr>
                <w:rFonts w:ascii="宋体" w:hAnsi="宋体" w:hint="eastAsia"/>
                <w:sz w:val="24"/>
              </w:rPr>
              <w:t>空头</w:t>
            </w:r>
            <w:r>
              <w:rPr>
                <w:rFonts w:ascii="宋体" w:hAnsi="宋体" w:hint="eastAsia"/>
                <w:sz w:val="24"/>
              </w:rPr>
              <w:t>或债项空头，当特定市场风险资本要求最高的信用参考实体或债项已发生违约时，取特定市场风险资本要求次高的参考实体</w:t>
            </w:r>
            <w:r w:rsidR="00C15F32">
              <w:rPr>
                <w:rFonts w:ascii="宋体" w:hAnsi="宋体" w:hint="eastAsia"/>
                <w:sz w:val="24"/>
              </w:rPr>
              <w:t>空头</w:t>
            </w:r>
            <w:r>
              <w:rPr>
                <w:rFonts w:ascii="宋体" w:hAnsi="宋体" w:hint="eastAsia"/>
                <w:sz w:val="24"/>
              </w:rPr>
              <w:t>或债项空头头寸；第二次违约信用互换不适用对冲抵消</w:t>
            </w:r>
          </w:p>
        </w:tc>
      </w:tr>
    </w:tbl>
    <w:p w14:paraId="55812DAD" w14:textId="77777777" w:rsidR="006F0590" w:rsidRDefault="006F0590">
      <w:pPr>
        <w:spacing w:line="480" w:lineRule="exact"/>
        <w:rPr>
          <w:rFonts w:ascii="仿宋_GB2312" w:eastAsia="仿宋_GB2312"/>
          <w:sz w:val="28"/>
          <w:szCs w:val="28"/>
        </w:rPr>
      </w:pPr>
    </w:p>
    <w:sectPr w:rsidR="006F0590">
      <w:footerReference w:type="even" r:id="rId9"/>
      <w:footerReference w:type="default" r:id="rId10"/>
      <w:pgSz w:w="11906" w:h="16838"/>
      <w:pgMar w:top="2268" w:right="1701" w:bottom="1701" w:left="1701" w:header="851" w:footer="96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5027" w14:textId="77777777" w:rsidR="00B10B3E" w:rsidRDefault="00B10B3E"/>
  </w:endnote>
  <w:endnote w:type="continuationSeparator" w:id="0">
    <w:p w14:paraId="24D27C69" w14:textId="77777777" w:rsidR="00B10B3E" w:rsidRDefault="00B10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B0604020202020204"/>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楷体_GB2312">
    <w:panose1 w:val="020B0604020202020204"/>
    <w:charset w:val="86"/>
    <w:family w:val="modern"/>
    <w:pitch w:val="fixed"/>
    <w:sig w:usb0="00000003" w:usb1="080E0000" w:usb2="00000010" w:usb3="00000000" w:csb0="00040001" w:csb1="00000000"/>
  </w:font>
  <w:font w:name="方正小标宋简体">
    <w:panose1 w:val="02010601030101010101"/>
    <w:charset w:val="86"/>
    <w:family w:val="auto"/>
    <w:pitch w:val="variable"/>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3B70" w14:textId="77777777" w:rsidR="006F0590" w:rsidRDefault="000D0DA9">
    <w:pPr>
      <w:pStyle w:val="ad"/>
      <w:framePr w:wrap="around" w:vAnchor="text" w:hAnchor="margin" w:xAlign="right" w:y="1"/>
      <w:rPr>
        <w:rStyle w:val="af8"/>
      </w:rPr>
    </w:pPr>
    <w:r>
      <w:fldChar w:fldCharType="begin"/>
    </w:r>
    <w:r>
      <w:rPr>
        <w:rStyle w:val="af8"/>
      </w:rPr>
      <w:instrText xml:space="preserve">PAGE  </w:instrText>
    </w:r>
    <w:r>
      <w:fldChar w:fldCharType="end"/>
    </w:r>
  </w:p>
  <w:p w14:paraId="42B5FE92" w14:textId="77777777" w:rsidR="006F0590" w:rsidRDefault="006F0590">
    <w:pPr>
      <w:ind w:right="360"/>
    </w:pPr>
  </w:p>
  <w:p w14:paraId="5AF3FA6F" w14:textId="77777777" w:rsidR="006F0590" w:rsidRDefault="006F0590"/>
  <w:p w14:paraId="5CDB5488" w14:textId="77777777" w:rsidR="006F0590" w:rsidRDefault="000D0DA9">
    <w:r>
      <w:fldChar w:fldCharType="begin"/>
    </w:r>
    <w:r>
      <w:fldChar w:fldCharType="end"/>
    </w:r>
    <w:r>
      <w:rPr>
        <w:rStyle w:val="af8"/>
      </w:rPr>
      <w:t xml:space="preserve">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168E" w14:textId="77777777" w:rsidR="006F0590" w:rsidRDefault="000D0DA9">
    <w:pPr>
      <w:pStyle w:val="ad"/>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11</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09B0" w14:textId="77777777" w:rsidR="00B10B3E" w:rsidRDefault="00B10B3E"/>
  </w:footnote>
  <w:footnote w:type="continuationSeparator" w:id="0">
    <w:p w14:paraId="056C45D5" w14:textId="77777777" w:rsidR="00B10B3E" w:rsidRDefault="00B10B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RkZTUwZDg4OGNlMmFiY2NmMGY3MjY4MWFhMmM1YjIifQ=="/>
  </w:docVars>
  <w:rsids>
    <w:rsidRoot w:val="00C80225"/>
    <w:rsid w:val="BE79BB6A"/>
    <w:rsid w:val="DDFA150C"/>
    <w:rsid w:val="E3BC39D5"/>
    <w:rsid w:val="EBAD380C"/>
    <w:rsid w:val="FD6D9E53"/>
    <w:rsid w:val="0000188F"/>
    <w:rsid w:val="000040E4"/>
    <w:rsid w:val="0000722E"/>
    <w:rsid w:val="000101C5"/>
    <w:rsid w:val="00012101"/>
    <w:rsid w:val="0001559B"/>
    <w:rsid w:val="000163C2"/>
    <w:rsid w:val="00020883"/>
    <w:rsid w:val="000208AB"/>
    <w:rsid w:val="0002097E"/>
    <w:rsid w:val="00020F88"/>
    <w:rsid w:val="0002119C"/>
    <w:rsid w:val="0002411C"/>
    <w:rsid w:val="000265F9"/>
    <w:rsid w:val="0002671E"/>
    <w:rsid w:val="00033330"/>
    <w:rsid w:val="00035CA5"/>
    <w:rsid w:val="000368B5"/>
    <w:rsid w:val="00036AF1"/>
    <w:rsid w:val="0004175A"/>
    <w:rsid w:val="00045BF6"/>
    <w:rsid w:val="00045C4B"/>
    <w:rsid w:val="00047D0E"/>
    <w:rsid w:val="00060154"/>
    <w:rsid w:val="00063822"/>
    <w:rsid w:val="00064401"/>
    <w:rsid w:val="000677C3"/>
    <w:rsid w:val="00071E7C"/>
    <w:rsid w:val="00073BF3"/>
    <w:rsid w:val="00073E9F"/>
    <w:rsid w:val="00074126"/>
    <w:rsid w:val="00074148"/>
    <w:rsid w:val="00074E55"/>
    <w:rsid w:val="0007751B"/>
    <w:rsid w:val="0008715E"/>
    <w:rsid w:val="0009265A"/>
    <w:rsid w:val="000927BE"/>
    <w:rsid w:val="000927D2"/>
    <w:rsid w:val="00094DF9"/>
    <w:rsid w:val="00095331"/>
    <w:rsid w:val="00095F1B"/>
    <w:rsid w:val="00096D89"/>
    <w:rsid w:val="000A280F"/>
    <w:rsid w:val="000A426A"/>
    <w:rsid w:val="000A5EFE"/>
    <w:rsid w:val="000A6041"/>
    <w:rsid w:val="000A7EA9"/>
    <w:rsid w:val="000A7FC1"/>
    <w:rsid w:val="000B09AF"/>
    <w:rsid w:val="000B0D63"/>
    <w:rsid w:val="000B4E61"/>
    <w:rsid w:val="000C0978"/>
    <w:rsid w:val="000C2DB5"/>
    <w:rsid w:val="000C4261"/>
    <w:rsid w:val="000C5336"/>
    <w:rsid w:val="000C7B3A"/>
    <w:rsid w:val="000C7D7F"/>
    <w:rsid w:val="000D0106"/>
    <w:rsid w:val="000D0DA9"/>
    <w:rsid w:val="000E0C7F"/>
    <w:rsid w:val="000E5582"/>
    <w:rsid w:val="000E5E4A"/>
    <w:rsid w:val="000E6ABE"/>
    <w:rsid w:val="000F094D"/>
    <w:rsid w:val="000F2038"/>
    <w:rsid w:val="000F23E3"/>
    <w:rsid w:val="000F2DF9"/>
    <w:rsid w:val="000F3581"/>
    <w:rsid w:val="00102A2B"/>
    <w:rsid w:val="00104327"/>
    <w:rsid w:val="0010560C"/>
    <w:rsid w:val="00106FD6"/>
    <w:rsid w:val="00107BFF"/>
    <w:rsid w:val="00110A14"/>
    <w:rsid w:val="001110EA"/>
    <w:rsid w:val="00116E56"/>
    <w:rsid w:val="00125F37"/>
    <w:rsid w:val="001307FE"/>
    <w:rsid w:val="00134A3A"/>
    <w:rsid w:val="00134EF5"/>
    <w:rsid w:val="00135FA7"/>
    <w:rsid w:val="00141995"/>
    <w:rsid w:val="0014367E"/>
    <w:rsid w:val="001437F3"/>
    <w:rsid w:val="00143E43"/>
    <w:rsid w:val="00146D18"/>
    <w:rsid w:val="0014733E"/>
    <w:rsid w:val="0014750A"/>
    <w:rsid w:val="00147956"/>
    <w:rsid w:val="00151630"/>
    <w:rsid w:val="00151765"/>
    <w:rsid w:val="00153FFB"/>
    <w:rsid w:val="00154C7A"/>
    <w:rsid w:val="001625D9"/>
    <w:rsid w:val="001647E7"/>
    <w:rsid w:val="0016563F"/>
    <w:rsid w:val="001768F8"/>
    <w:rsid w:val="0017692B"/>
    <w:rsid w:val="0017699A"/>
    <w:rsid w:val="0017757F"/>
    <w:rsid w:val="00177628"/>
    <w:rsid w:val="00177B1A"/>
    <w:rsid w:val="001808FC"/>
    <w:rsid w:val="00181918"/>
    <w:rsid w:val="00190CF8"/>
    <w:rsid w:val="001A09F6"/>
    <w:rsid w:val="001A0D57"/>
    <w:rsid w:val="001A148D"/>
    <w:rsid w:val="001A1DE2"/>
    <w:rsid w:val="001A5DC4"/>
    <w:rsid w:val="001A625D"/>
    <w:rsid w:val="001A6B81"/>
    <w:rsid w:val="001B155B"/>
    <w:rsid w:val="001B1FC4"/>
    <w:rsid w:val="001B23D0"/>
    <w:rsid w:val="001C1658"/>
    <w:rsid w:val="001C1CEE"/>
    <w:rsid w:val="001C25B7"/>
    <w:rsid w:val="001C4F59"/>
    <w:rsid w:val="001C72A4"/>
    <w:rsid w:val="001D1487"/>
    <w:rsid w:val="001D24BF"/>
    <w:rsid w:val="001D2A44"/>
    <w:rsid w:val="001D30C3"/>
    <w:rsid w:val="001D3AD8"/>
    <w:rsid w:val="001D70DD"/>
    <w:rsid w:val="001E0CE0"/>
    <w:rsid w:val="001E12F5"/>
    <w:rsid w:val="001E320F"/>
    <w:rsid w:val="001F1C14"/>
    <w:rsid w:val="001F3177"/>
    <w:rsid w:val="001F32EB"/>
    <w:rsid w:val="001F3C35"/>
    <w:rsid w:val="001F6FC6"/>
    <w:rsid w:val="001F7154"/>
    <w:rsid w:val="001F71E3"/>
    <w:rsid w:val="00203A94"/>
    <w:rsid w:val="00203BB5"/>
    <w:rsid w:val="00203E9B"/>
    <w:rsid w:val="002048FA"/>
    <w:rsid w:val="00204F5B"/>
    <w:rsid w:val="0020509A"/>
    <w:rsid w:val="002058D7"/>
    <w:rsid w:val="00210AFE"/>
    <w:rsid w:val="00211412"/>
    <w:rsid w:val="0021254B"/>
    <w:rsid w:val="002138D9"/>
    <w:rsid w:val="002200EA"/>
    <w:rsid w:val="002206FC"/>
    <w:rsid w:val="00220DF6"/>
    <w:rsid w:val="00221E0D"/>
    <w:rsid w:val="00233035"/>
    <w:rsid w:val="002369A8"/>
    <w:rsid w:val="00237BDF"/>
    <w:rsid w:val="00242B03"/>
    <w:rsid w:val="002447E9"/>
    <w:rsid w:val="00250B9A"/>
    <w:rsid w:val="00253D92"/>
    <w:rsid w:val="00253E69"/>
    <w:rsid w:val="00255498"/>
    <w:rsid w:val="00265530"/>
    <w:rsid w:val="00265C1C"/>
    <w:rsid w:val="00266934"/>
    <w:rsid w:val="00266BF5"/>
    <w:rsid w:val="002671B1"/>
    <w:rsid w:val="002722DD"/>
    <w:rsid w:val="0028004C"/>
    <w:rsid w:val="0028220A"/>
    <w:rsid w:val="00282AC5"/>
    <w:rsid w:val="0028442F"/>
    <w:rsid w:val="00284FCD"/>
    <w:rsid w:val="00285F22"/>
    <w:rsid w:val="0029147B"/>
    <w:rsid w:val="00292699"/>
    <w:rsid w:val="0029281E"/>
    <w:rsid w:val="00292984"/>
    <w:rsid w:val="00293D1D"/>
    <w:rsid w:val="0029432B"/>
    <w:rsid w:val="002947BB"/>
    <w:rsid w:val="00294B52"/>
    <w:rsid w:val="002B12AB"/>
    <w:rsid w:val="002B1D21"/>
    <w:rsid w:val="002B4CDD"/>
    <w:rsid w:val="002B53F4"/>
    <w:rsid w:val="002B6B54"/>
    <w:rsid w:val="002C3A9D"/>
    <w:rsid w:val="002C4615"/>
    <w:rsid w:val="002D1260"/>
    <w:rsid w:val="002D1597"/>
    <w:rsid w:val="002D4C5F"/>
    <w:rsid w:val="002D539F"/>
    <w:rsid w:val="002D7E56"/>
    <w:rsid w:val="002D7FDD"/>
    <w:rsid w:val="002E093C"/>
    <w:rsid w:val="002E10C6"/>
    <w:rsid w:val="002E20C3"/>
    <w:rsid w:val="002E3BFD"/>
    <w:rsid w:val="002E4529"/>
    <w:rsid w:val="002E4BB8"/>
    <w:rsid w:val="002F02E1"/>
    <w:rsid w:val="0030699D"/>
    <w:rsid w:val="00316794"/>
    <w:rsid w:val="003171EF"/>
    <w:rsid w:val="00320335"/>
    <w:rsid w:val="00320A79"/>
    <w:rsid w:val="00323430"/>
    <w:rsid w:val="00334420"/>
    <w:rsid w:val="00334AC9"/>
    <w:rsid w:val="00335D88"/>
    <w:rsid w:val="003458FF"/>
    <w:rsid w:val="00345D37"/>
    <w:rsid w:val="0034605F"/>
    <w:rsid w:val="00353567"/>
    <w:rsid w:val="00354F84"/>
    <w:rsid w:val="003554BD"/>
    <w:rsid w:val="0036312F"/>
    <w:rsid w:val="0036323E"/>
    <w:rsid w:val="0036481D"/>
    <w:rsid w:val="00372714"/>
    <w:rsid w:val="0037302B"/>
    <w:rsid w:val="00373D0F"/>
    <w:rsid w:val="00375418"/>
    <w:rsid w:val="00375CB4"/>
    <w:rsid w:val="00376D04"/>
    <w:rsid w:val="00381D0F"/>
    <w:rsid w:val="00382D4C"/>
    <w:rsid w:val="00391B7E"/>
    <w:rsid w:val="00393348"/>
    <w:rsid w:val="003937A1"/>
    <w:rsid w:val="00395FFC"/>
    <w:rsid w:val="0039645A"/>
    <w:rsid w:val="0039749A"/>
    <w:rsid w:val="003A0A7B"/>
    <w:rsid w:val="003A1A54"/>
    <w:rsid w:val="003A77A9"/>
    <w:rsid w:val="003A7C40"/>
    <w:rsid w:val="003B1BF9"/>
    <w:rsid w:val="003B2462"/>
    <w:rsid w:val="003B361F"/>
    <w:rsid w:val="003B3B22"/>
    <w:rsid w:val="003B4336"/>
    <w:rsid w:val="003B5DF2"/>
    <w:rsid w:val="003B7773"/>
    <w:rsid w:val="003C02C8"/>
    <w:rsid w:val="003C1108"/>
    <w:rsid w:val="003C3902"/>
    <w:rsid w:val="003C3C5A"/>
    <w:rsid w:val="003C56B6"/>
    <w:rsid w:val="003C5CD4"/>
    <w:rsid w:val="003D25FC"/>
    <w:rsid w:val="003D45FA"/>
    <w:rsid w:val="003D672A"/>
    <w:rsid w:val="003D6C3C"/>
    <w:rsid w:val="003E1168"/>
    <w:rsid w:val="003E14F1"/>
    <w:rsid w:val="003E1F32"/>
    <w:rsid w:val="003E797C"/>
    <w:rsid w:val="003F0A41"/>
    <w:rsid w:val="003F0B5B"/>
    <w:rsid w:val="003F1056"/>
    <w:rsid w:val="003F17A4"/>
    <w:rsid w:val="003F505F"/>
    <w:rsid w:val="003F69AC"/>
    <w:rsid w:val="003F7C7C"/>
    <w:rsid w:val="00402B94"/>
    <w:rsid w:val="00402BB7"/>
    <w:rsid w:val="004049FE"/>
    <w:rsid w:val="004101B0"/>
    <w:rsid w:val="004123CF"/>
    <w:rsid w:val="0041503A"/>
    <w:rsid w:val="00416998"/>
    <w:rsid w:val="00417792"/>
    <w:rsid w:val="00420B5C"/>
    <w:rsid w:val="00424DF0"/>
    <w:rsid w:val="00425FEC"/>
    <w:rsid w:val="00426E6E"/>
    <w:rsid w:val="0042729A"/>
    <w:rsid w:val="004327D9"/>
    <w:rsid w:val="004340AE"/>
    <w:rsid w:val="0043552F"/>
    <w:rsid w:val="00435994"/>
    <w:rsid w:val="00440AD8"/>
    <w:rsid w:val="00443DFB"/>
    <w:rsid w:val="00444518"/>
    <w:rsid w:val="00444F91"/>
    <w:rsid w:val="00447946"/>
    <w:rsid w:val="004509CB"/>
    <w:rsid w:val="00450B68"/>
    <w:rsid w:val="00451163"/>
    <w:rsid w:val="0045622E"/>
    <w:rsid w:val="004647F7"/>
    <w:rsid w:val="00464F18"/>
    <w:rsid w:val="00465A73"/>
    <w:rsid w:val="00466805"/>
    <w:rsid w:val="004704F3"/>
    <w:rsid w:val="00471E0D"/>
    <w:rsid w:val="00472DDD"/>
    <w:rsid w:val="00472EDE"/>
    <w:rsid w:val="00475598"/>
    <w:rsid w:val="00475967"/>
    <w:rsid w:val="00476F5C"/>
    <w:rsid w:val="00480009"/>
    <w:rsid w:val="00480B3F"/>
    <w:rsid w:val="00484A30"/>
    <w:rsid w:val="00484F96"/>
    <w:rsid w:val="00487239"/>
    <w:rsid w:val="004908AF"/>
    <w:rsid w:val="0049773E"/>
    <w:rsid w:val="004A2F5C"/>
    <w:rsid w:val="004A4A7C"/>
    <w:rsid w:val="004A4FC9"/>
    <w:rsid w:val="004A653D"/>
    <w:rsid w:val="004A7F44"/>
    <w:rsid w:val="004B0AB6"/>
    <w:rsid w:val="004B6F07"/>
    <w:rsid w:val="004B74A5"/>
    <w:rsid w:val="004C0717"/>
    <w:rsid w:val="004C18F7"/>
    <w:rsid w:val="004C314F"/>
    <w:rsid w:val="004D0CF6"/>
    <w:rsid w:val="004D1361"/>
    <w:rsid w:val="004D3E26"/>
    <w:rsid w:val="004D52EE"/>
    <w:rsid w:val="004D7FB8"/>
    <w:rsid w:val="004E29FA"/>
    <w:rsid w:val="004E2ABC"/>
    <w:rsid w:val="004E5A95"/>
    <w:rsid w:val="004E6489"/>
    <w:rsid w:val="004E78BA"/>
    <w:rsid w:val="004F3092"/>
    <w:rsid w:val="004F5C5D"/>
    <w:rsid w:val="004F63D3"/>
    <w:rsid w:val="004F761A"/>
    <w:rsid w:val="00506737"/>
    <w:rsid w:val="00507880"/>
    <w:rsid w:val="00507F65"/>
    <w:rsid w:val="00507FFE"/>
    <w:rsid w:val="00517690"/>
    <w:rsid w:val="00524BC8"/>
    <w:rsid w:val="00524D52"/>
    <w:rsid w:val="005275F0"/>
    <w:rsid w:val="0053075A"/>
    <w:rsid w:val="00532584"/>
    <w:rsid w:val="005331DC"/>
    <w:rsid w:val="005356D9"/>
    <w:rsid w:val="00541062"/>
    <w:rsid w:val="0054215A"/>
    <w:rsid w:val="00542B67"/>
    <w:rsid w:val="0054483B"/>
    <w:rsid w:val="00553016"/>
    <w:rsid w:val="00557E51"/>
    <w:rsid w:val="0056180F"/>
    <w:rsid w:val="00566022"/>
    <w:rsid w:val="00566EC8"/>
    <w:rsid w:val="0057075C"/>
    <w:rsid w:val="00571829"/>
    <w:rsid w:val="0057427A"/>
    <w:rsid w:val="00575244"/>
    <w:rsid w:val="00585671"/>
    <w:rsid w:val="00586C64"/>
    <w:rsid w:val="005907E0"/>
    <w:rsid w:val="0059729A"/>
    <w:rsid w:val="00597DDC"/>
    <w:rsid w:val="005A2953"/>
    <w:rsid w:val="005A449C"/>
    <w:rsid w:val="005A5F31"/>
    <w:rsid w:val="005A6B0D"/>
    <w:rsid w:val="005B4829"/>
    <w:rsid w:val="005B50EC"/>
    <w:rsid w:val="005B6AEA"/>
    <w:rsid w:val="005B6EA9"/>
    <w:rsid w:val="005C0945"/>
    <w:rsid w:val="005C31CC"/>
    <w:rsid w:val="005C383E"/>
    <w:rsid w:val="005C3C7D"/>
    <w:rsid w:val="005D17CC"/>
    <w:rsid w:val="005D27B3"/>
    <w:rsid w:val="005D47AF"/>
    <w:rsid w:val="005D5B29"/>
    <w:rsid w:val="005D5B8D"/>
    <w:rsid w:val="005D784C"/>
    <w:rsid w:val="005E0B03"/>
    <w:rsid w:val="005E17D2"/>
    <w:rsid w:val="005E2FE9"/>
    <w:rsid w:val="005E7B23"/>
    <w:rsid w:val="005F0DF8"/>
    <w:rsid w:val="005F141C"/>
    <w:rsid w:val="005F3C18"/>
    <w:rsid w:val="005F4C45"/>
    <w:rsid w:val="00607C0C"/>
    <w:rsid w:val="00607DD9"/>
    <w:rsid w:val="00611704"/>
    <w:rsid w:val="0061448F"/>
    <w:rsid w:val="00615FA6"/>
    <w:rsid w:val="00616748"/>
    <w:rsid w:val="00620B7E"/>
    <w:rsid w:val="00634120"/>
    <w:rsid w:val="006364D1"/>
    <w:rsid w:val="006369DD"/>
    <w:rsid w:val="006416C8"/>
    <w:rsid w:val="0064698A"/>
    <w:rsid w:val="00646C6B"/>
    <w:rsid w:val="00646C8A"/>
    <w:rsid w:val="0064729A"/>
    <w:rsid w:val="00650F9C"/>
    <w:rsid w:val="00652088"/>
    <w:rsid w:val="006521B2"/>
    <w:rsid w:val="006569AF"/>
    <w:rsid w:val="00660A3F"/>
    <w:rsid w:val="00660AC7"/>
    <w:rsid w:val="00660BA4"/>
    <w:rsid w:val="00661BA8"/>
    <w:rsid w:val="00664543"/>
    <w:rsid w:val="00664802"/>
    <w:rsid w:val="00665F3E"/>
    <w:rsid w:val="00675CC4"/>
    <w:rsid w:val="00675FCE"/>
    <w:rsid w:val="00677FD4"/>
    <w:rsid w:val="00680E57"/>
    <w:rsid w:val="00682C98"/>
    <w:rsid w:val="006871F1"/>
    <w:rsid w:val="00693D6A"/>
    <w:rsid w:val="00697259"/>
    <w:rsid w:val="00697A26"/>
    <w:rsid w:val="006A36DB"/>
    <w:rsid w:val="006A3D65"/>
    <w:rsid w:val="006A432B"/>
    <w:rsid w:val="006A4715"/>
    <w:rsid w:val="006A6818"/>
    <w:rsid w:val="006B0080"/>
    <w:rsid w:val="006B0EAA"/>
    <w:rsid w:val="006B1451"/>
    <w:rsid w:val="006B1DDC"/>
    <w:rsid w:val="006B26C5"/>
    <w:rsid w:val="006B5C33"/>
    <w:rsid w:val="006B7EC4"/>
    <w:rsid w:val="006C2737"/>
    <w:rsid w:val="006C4239"/>
    <w:rsid w:val="006D014C"/>
    <w:rsid w:val="006D0547"/>
    <w:rsid w:val="006D581A"/>
    <w:rsid w:val="006D5E04"/>
    <w:rsid w:val="006E0B76"/>
    <w:rsid w:val="006E54A6"/>
    <w:rsid w:val="006E68A1"/>
    <w:rsid w:val="006F0590"/>
    <w:rsid w:val="006F0ECA"/>
    <w:rsid w:val="006F466B"/>
    <w:rsid w:val="006F4C25"/>
    <w:rsid w:val="006F7431"/>
    <w:rsid w:val="00704B4D"/>
    <w:rsid w:val="007062F1"/>
    <w:rsid w:val="00722214"/>
    <w:rsid w:val="00731021"/>
    <w:rsid w:val="00731537"/>
    <w:rsid w:val="00732028"/>
    <w:rsid w:val="00732567"/>
    <w:rsid w:val="007330AF"/>
    <w:rsid w:val="00733464"/>
    <w:rsid w:val="00734DE8"/>
    <w:rsid w:val="007406FB"/>
    <w:rsid w:val="00740774"/>
    <w:rsid w:val="00744471"/>
    <w:rsid w:val="0074454B"/>
    <w:rsid w:val="007456C2"/>
    <w:rsid w:val="00750A7C"/>
    <w:rsid w:val="00750E5F"/>
    <w:rsid w:val="00750E70"/>
    <w:rsid w:val="00753CD0"/>
    <w:rsid w:val="00756549"/>
    <w:rsid w:val="00756B1B"/>
    <w:rsid w:val="00761679"/>
    <w:rsid w:val="00761CA4"/>
    <w:rsid w:val="007653CC"/>
    <w:rsid w:val="007658CB"/>
    <w:rsid w:val="00770349"/>
    <w:rsid w:val="00770C11"/>
    <w:rsid w:val="00771029"/>
    <w:rsid w:val="00772EBC"/>
    <w:rsid w:val="00772F56"/>
    <w:rsid w:val="00777A21"/>
    <w:rsid w:val="00780D73"/>
    <w:rsid w:val="0078590C"/>
    <w:rsid w:val="007860B9"/>
    <w:rsid w:val="00786100"/>
    <w:rsid w:val="007875A4"/>
    <w:rsid w:val="00791D3C"/>
    <w:rsid w:val="00792192"/>
    <w:rsid w:val="00794464"/>
    <w:rsid w:val="00796609"/>
    <w:rsid w:val="00797158"/>
    <w:rsid w:val="007A0D33"/>
    <w:rsid w:val="007A1085"/>
    <w:rsid w:val="007A1C74"/>
    <w:rsid w:val="007A30BC"/>
    <w:rsid w:val="007A61E1"/>
    <w:rsid w:val="007A6277"/>
    <w:rsid w:val="007B0E32"/>
    <w:rsid w:val="007B1A31"/>
    <w:rsid w:val="007B3E64"/>
    <w:rsid w:val="007B647F"/>
    <w:rsid w:val="007B6DA9"/>
    <w:rsid w:val="007C1E00"/>
    <w:rsid w:val="007C434E"/>
    <w:rsid w:val="007C6780"/>
    <w:rsid w:val="007C71C9"/>
    <w:rsid w:val="007D1E51"/>
    <w:rsid w:val="007D1EED"/>
    <w:rsid w:val="007D57FB"/>
    <w:rsid w:val="007D7570"/>
    <w:rsid w:val="007E0E44"/>
    <w:rsid w:val="007E365D"/>
    <w:rsid w:val="007E5406"/>
    <w:rsid w:val="007F09B5"/>
    <w:rsid w:val="007F0A81"/>
    <w:rsid w:val="007F18BA"/>
    <w:rsid w:val="007F30F6"/>
    <w:rsid w:val="007F3627"/>
    <w:rsid w:val="008073A9"/>
    <w:rsid w:val="00811788"/>
    <w:rsid w:val="00812F77"/>
    <w:rsid w:val="00816328"/>
    <w:rsid w:val="00817A80"/>
    <w:rsid w:val="00820505"/>
    <w:rsid w:val="00820FB8"/>
    <w:rsid w:val="0082448E"/>
    <w:rsid w:val="00826F9F"/>
    <w:rsid w:val="008274C3"/>
    <w:rsid w:val="00827762"/>
    <w:rsid w:val="0083363F"/>
    <w:rsid w:val="00836DE2"/>
    <w:rsid w:val="0083735C"/>
    <w:rsid w:val="00842D1C"/>
    <w:rsid w:val="00843259"/>
    <w:rsid w:val="008449CC"/>
    <w:rsid w:val="00851B9E"/>
    <w:rsid w:val="00851E2E"/>
    <w:rsid w:val="008520AE"/>
    <w:rsid w:val="00853ACC"/>
    <w:rsid w:val="00854CDF"/>
    <w:rsid w:val="00854D28"/>
    <w:rsid w:val="00855EE5"/>
    <w:rsid w:val="00855F17"/>
    <w:rsid w:val="0086395A"/>
    <w:rsid w:val="00864BE1"/>
    <w:rsid w:val="008721D3"/>
    <w:rsid w:val="008725C1"/>
    <w:rsid w:val="00873380"/>
    <w:rsid w:val="00874906"/>
    <w:rsid w:val="00890B26"/>
    <w:rsid w:val="00895642"/>
    <w:rsid w:val="00896E93"/>
    <w:rsid w:val="00896FA4"/>
    <w:rsid w:val="008A42D2"/>
    <w:rsid w:val="008A581D"/>
    <w:rsid w:val="008B33D3"/>
    <w:rsid w:val="008B5339"/>
    <w:rsid w:val="008B7E2E"/>
    <w:rsid w:val="008C7EB7"/>
    <w:rsid w:val="008D292C"/>
    <w:rsid w:val="008D2967"/>
    <w:rsid w:val="008D3C90"/>
    <w:rsid w:val="008D5BC9"/>
    <w:rsid w:val="008D6249"/>
    <w:rsid w:val="008D68E0"/>
    <w:rsid w:val="008E2B4B"/>
    <w:rsid w:val="008E3665"/>
    <w:rsid w:val="008E3A0E"/>
    <w:rsid w:val="008E52E0"/>
    <w:rsid w:val="008F1B16"/>
    <w:rsid w:val="008F3BC4"/>
    <w:rsid w:val="008F599B"/>
    <w:rsid w:val="008F79B0"/>
    <w:rsid w:val="00901CCF"/>
    <w:rsid w:val="009032D2"/>
    <w:rsid w:val="0090730F"/>
    <w:rsid w:val="0090764B"/>
    <w:rsid w:val="00910EF3"/>
    <w:rsid w:val="009147A5"/>
    <w:rsid w:val="0092109C"/>
    <w:rsid w:val="00922D14"/>
    <w:rsid w:val="009238A2"/>
    <w:rsid w:val="00925A39"/>
    <w:rsid w:val="00926433"/>
    <w:rsid w:val="00934372"/>
    <w:rsid w:val="00940C1B"/>
    <w:rsid w:val="00941124"/>
    <w:rsid w:val="00941DD4"/>
    <w:rsid w:val="00942CCC"/>
    <w:rsid w:val="009468BE"/>
    <w:rsid w:val="009475A6"/>
    <w:rsid w:val="00951118"/>
    <w:rsid w:val="0095146A"/>
    <w:rsid w:val="00951DD6"/>
    <w:rsid w:val="00952AA3"/>
    <w:rsid w:val="00952CB5"/>
    <w:rsid w:val="00953D13"/>
    <w:rsid w:val="0095450D"/>
    <w:rsid w:val="009550A6"/>
    <w:rsid w:val="00956272"/>
    <w:rsid w:val="0096595A"/>
    <w:rsid w:val="00967304"/>
    <w:rsid w:val="00970887"/>
    <w:rsid w:val="009715BA"/>
    <w:rsid w:val="00972099"/>
    <w:rsid w:val="0097737F"/>
    <w:rsid w:val="0098085A"/>
    <w:rsid w:val="00982E28"/>
    <w:rsid w:val="0098650F"/>
    <w:rsid w:val="00991B57"/>
    <w:rsid w:val="009A0EE3"/>
    <w:rsid w:val="009A201C"/>
    <w:rsid w:val="009A2193"/>
    <w:rsid w:val="009A23BA"/>
    <w:rsid w:val="009A4E64"/>
    <w:rsid w:val="009A6237"/>
    <w:rsid w:val="009A7634"/>
    <w:rsid w:val="009B1BD1"/>
    <w:rsid w:val="009B2A4D"/>
    <w:rsid w:val="009B5661"/>
    <w:rsid w:val="009B568A"/>
    <w:rsid w:val="009B67D9"/>
    <w:rsid w:val="009C3060"/>
    <w:rsid w:val="009C4827"/>
    <w:rsid w:val="009C798D"/>
    <w:rsid w:val="009C79E1"/>
    <w:rsid w:val="009D1C02"/>
    <w:rsid w:val="009D1CD6"/>
    <w:rsid w:val="009E2F04"/>
    <w:rsid w:val="009E6634"/>
    <w:rsid w:val="009E71F9"/>
    <w:rsid w:val="009F34C1"/>
    <w:rsid w:val="009F4634"/>
    <w:rsid w:val="00A07A84"/>
    <w:rsid w:val="00A12A1D"/>
    <w:rsid w:val="00A13F78"/>
    <w:rsid w:val="00A14EE0"/>
    <w:rsid w:val="00A15635"/>
    <w:rsid w:val="00A17C28"/>
    <w:rsid w:val="00A20602"/>
    <w:rsid w:val="00A247B6"/>
    <w:rsid w:val="00A25D9C"/>
    <w:rsid w:val="00A25FEA"/>
    <w:rsid w:val="00A31138"/>
    <w:rsid w:val="00A36D8C"/>
    <w:rsid w:val="00A41E48"/>
    <w:rsid w:val="00A46E6F"/>
    <w:rsid w:val="00A47AF8"/>
    <w:rsid w:val="00A51169"/>
    <w:rsid w:val="00A520D0"/>
    <w:rsid w:val="00A53453"/>
    <w:rsid w:val="00A54C22"/>
    <w:rsid w:val="00A550FD"/>
    <w:rsid w:val="00A57D3A"/>
    <w:rsid w:val="00A6000E"/>
    <w:rsid w:val="00A60C74"/>
    <w:rsid w:val="00A61AE3"/>
    <w:rsid w:val="00A71292"/>
    <w:rsid w:val="00A723E2"/>
    <w:rsid w:val="00A72491"/>
    <w:rsid w:val="00A75D85"/>
    <w:rsid w:val="00A77B57"/>
    <w:rsid w:val="00A83A0F"/>
    <w:rsid w:val="00A864F0"/>
    <w:rsid w:val="00A90F49"/>
    <w:rsid w:val="00A947EC"/>
    <w:rsid w:val="00A9494B"/>
    <w:rsid w:val="00AA355B"/>
    <w:rsid w:val="00AA4440"/>
    <w:rsid w:val="00AA6949"/>
    <w:rsid w:val="00AB13CA"/>
    <w:rsid w:val="00AB1432"/>
    <w:rsid w:val="00AB3475"/>
    <w:rsid w:val="00AB5E6E"/>
    <w:rsid w:val="00AB64B6"/>
    <w:rsid w:val="00AB6F9E"/>
    <w:rsid w:val="00AC100E"/>
    <w:rsid w:val="00AC1F40"/>
    <w:rsid w:val="00AC5FE2"/>
    <w:rsid w:val="00AC7F96"/>
    <w:rsid w:val="00AD1E91"/>
    <w:rsid w:val="00AD2638"/>
    <w:rsid w:val="00AD49C2"/>
    <w:rsid w:val="00AE0A42"/>
    <w:rsid w:val="00AE1C6D"/>
    <w:rsid w:val="00AE2692"/>
    <w:rsid w:val="00AE2EBE"/>
    <w:rsid w:val="00AE344C"/>
    <w:rsid w:val="00AE56C0"/>
    <w:rsid w:val="00AE6507"/>
    <w:rsid w:val="00AF0294"/>
    <w:rsid w:val="00AF0488"/>
    <w:rsid w:val="00AF09C5"/>
    <w:rsid w:val="00AF4D5A"/>
    <w:rsid w:val="00B01079"/>
    <w:rsid w:val="00B02745"/>
    <w:rsid w:val="00B035A7"/>
    <w:rsid w:val="00B04786"/>
    <w:rsid w:val="00B0641F"/>
    <w:rsid w:val="00B10B3E"/>
    <w:rsid w:val="00B16002"/>
    <w:rsid w:val="00B163AD"/>
    <w:rsid w:val="00B26097"/>
    <w:rsid w:val="00B321BC"/>
    <w:rsid w:val="00B35511"/>
    <w:rsid w:val="00B4245C"/>
    <w:rsid w:val="00B4636F"/>
    <w:rsid w:val="00B50B08"/>
    <w:rsid w:val="00B53A9E"/>
    <w:rsid w:val="00B54339"/>
    <w:rsid w:val="00B55A42"/>
    <w:rsid w:val="00B55B5E"/>
    <w:rsid w:val="00B626B3"/>
    <w:rsid w:val="00B628D0"/>
    <w:rsid w:val="00B65FA4"/>
    <w:rsid w:val="00B70BB2"/>
    <w:rsid w:val="00B71893"/>
    <w:rsid w:val="00B7344B"/>
    <w:rsid w:val="00B73AA7"/>
    <w:rsid w:val="00B74F3E"/>
    <w:rsid w:val="00B76945"/>
    <w:rsid w:val="00B82EDA"/>
    <w:rsid w:val="00B83599"/>
    <w:rsid w:val="00B839FB"/>
    <w:rsid w:val="00B91901"/>
    <w:rsid w:val="00B93E16"/>
    <w:rsid w:val="00B93E73"/>
    <w:rsid w:val="00BA1288"/>
    <w:rsid w:val="00BA3D46"/>
    <w:rsid w:val="00BA4026"/>
    <w:rsid w:val="00BA41AA"/>
    <w:rsid w:val="00BA51EE"/>
    <w:rsid w:val="00BA5600"/>
    <w:rsid w:val="00BA70D4"/>
    <w:rsid w:val="00BB1BFE"/>
    <w:rsid w:val="00BB2BD8"/>
    <w:rsid w:val="00BB474A"/>
    <w:rsid w:val="00BC3F8A"/>
    <w:rsid w:val="00BC40BB"/>
    <w:rsid w:val="00BC6430"/>
    <w:rsid w:val="00BD156F"/>
    <w:rsid w:val="00BD5689"/>
    <w:rsid w:val="00BE4D84"/>
    <w:rsid w:val="00BE5C0C"/>
    <w:rsid w:val="00BE7443"/>
    <w:rsid w:val="00BF2A22"/>
    <w:rsid w:val="00BF58FC"/>
    <w:rsid w:val="00C01D73"/>
    <w:rsid w:val="00C02ED6"/>
    <w:rsid w:val="00C11E90"/>
    <w:rsid w:val="00C13D4E"/>
    <w:rsid w:val="00C1590D"/>
    <w:rsid w:val="00C15F32"/>
    <w:rsid w:val="00C16568"/>
    <w:rsid w:val="00C2337D"/>
    <w:rsid w:val="00C306A4"/>
    <w:rsid w:val="00C30998"/>
    <w:rsid w:val="00C30B7B"/>
    <w:rsid w:val="00C325D7"/>
    <w:rsid w:val="00C37561"/>
    <w:rsid w:val="00C37BA0"/>
    <w:rsid w:val="00C4024D"/>
    <w:rsid w:val="00C40F0A"/>
    <w:rsid w:val="00C43F7D"/>
    <w:rsid w:val="00C44277"/>
    <w:rsid w:val="00C45FF3"/>
    <w:rsid w:val="00C464B3"/>
    <w:rsid w:val="00C55411"/>
    <w:rsid w:val="00C56000"/>
    <w:rsid w:val="00C56C82"/>
    <w:rsid w:val="00C60369"/>
    <w:rsid w:val="00C632A0"/>
    <w:rsid w:val="00C64849"/>
    <w:rsid w:val="00C7151C"/>
    <w:rsid w:val="00C773C2"/>
    <w:rsid w:val="00C80225"/>
    <w:rsid w:val="00C81504"/>
    <w:rsid w:val="00C83693"/>
    <w:rsid w:val="00C83CA2"/>
    <w:rsid w:val="00C8605D"/>
    <w:rsid w:val="00C869C3"/>
    <w:rsid w:val="00C87064"/>
    <w:rsid w:val="00C87BA0"/>
    <w:rsid w:val="00C901CF"/>
    <w:rsid w:val="00C904F6"/>
    <w:rsid w:val="00C91576"/>
    <w:rsid w:val="00C93C20"/>
    <w:rsid w:val="00C94581"/>
    <w:rsid w:val="00C96493"/>
    <w:rsid w:val="00C9714E"/>
    <w:rsid w:val="00CA3078"/>
    <w:rsid w:val="00CA3DA3"/>
    <w:rsid w:val="00CA4BF2"/>
    <w:rsid w:val="00CA6137"/>
    <w:rsid w:val="00CB0070"/>
    <w:rsid w:val="00CB4628"/>
    <w:rsid w:val="00CC1E10"/>
    <w:rsid w:val="00CC2FE0"/>
    <w:rsid w:val="00CC77D9"/>
    <w:rsid w:val="00CD2F1F"/>
    <w:rsid w:val="00CD3006"/>
    <w:rsid w:val="00CD4C5E"/>
    <w:rsid w:val="00CD69D7"/>
    <w:rsid w:val="00CE161B"/>
    <w:rsid w:val="00CE276B"/>
    <w:rsid w:val="00CE4965"/>
    <w:rsid w:val="00CE70F6"/>
    <w:rsid w:val="00CE7EE9"/>
    <w:rsid w:val="00CF4FAF"/>
    <w:rsid w:val="00CF66D8"/>
    <w:rsid w:val="00D00AFC"/>
    <w:rsid w:val="00D00DF2"/>
    <w:rsid w:val="00D03C74"/>
    <w:rsid w:val="00D04729"/>
    <w:rsid w:val="00D04CA0"/>
    <w:rsid w:val="00D07CFD"/>
    <w:rsid w:val="00D133A2"/>
    <w:rsid w:val="00D13CEE"/>
    <w:rsid w:val="00D17E46"/>
    <w:rsid w:val="00D218C5"/>
    <w:rsid w:val="00D21AE1"/>
    <w:rsid w:val="00D23DBA"/>
    <w:rsid w:val="00D257A1"/>
    <w:rsid w:val="00D27D33"/>
    <w:rsid w:val="00D311EC"/>
    <w:rsid w:val="00D322F9"/>
    <w:rsid w:val="00D36B45"/>
    <w:rsid w:val="00D37541"/>
    <w:rsid w:val="00D41B93"/>
    <w:rsid w:val="00D42A9D"/>
    <w:rsid w:val="00D44433"/>
    <w:rsid w:val="00D4693F"/>
    <w:rsid w:val="00D47F62"/>
    <w:rsid w:val="00D565E4"/>
    <w:rsid w:val="00D56A5E"/>
    <w:rsid w:val="00D57CCC"/>
    <w:rsid w:val="00D625FF"/>
    <w:rsid w:val="00D639E1"/>
    <w:rsid w:val="00D6724C"/>
    <w:rsid w:val="00D6783F"/>
    <w:rsid w:val="00D70C2D"/>
    <w:rsid w:val="00D70F35"/>
    <w:rsid w:val="00D734CB"/>
    <w:rsid w:val="00D7696A"/>
    <w:rsid w:val="00D77AEB"/>
    <w:rsid w:val="00D80854"/>
    <w:rsid w:val="00D810DF"/>
    <w:rsid w:val="00D87DAC"/>
    <w:rsid w:val="00D918D2"/>
    <w:rsid w:val="00D91E6C"/>
    <w:rsid w:val="00D95336"/>
    <w:rsid w:val="00D95599"/>
    <w:rsid w:val="00D967AF"/>
    <w:rsid w:val="00D9707A"/>
    <w:rsid w:val="00D9748C"/>
    <w:rsid w:val="00D97FD9"/>
    <w:rsid w:val="00DA0002"/>
    <w:rsid w:val="00DA57CB"/>
    <w:rsid w:val="00DA7BAF"/>
    <w:rsid w:val="00DB26C1"/>
    <w:rsid w:val="00DB75E4"/>
    <w:rsid w:val="00DB77F2"/>
    <w:rsid w:val="00DC24F9"/>
    <w:rsid w:val="00DC33A8"/>
    <w:rsid w:val="00DC36C2"/>
    <w:rsid w:val="00DC4297"/>
    <w:rsid w:val="00DC4F9C"/>
    <w:rsid w:val="00DC502B"/>
    <w:rsid w:val="00DC5394"/>
    <w:rsid w:val="00DC556C"/>
    <w:rsid w:val="00DD1DB2"/>
    <w:rsid w:val="00DD3771"/>
    <w:rsid w:val="00DE1001"/>
    <w:rsid w:val="00DE1E25"/>
    <w:rsid w:val="00DE479C"/>
    <w:rsid w:val="00DF1107"/>
    <w:rsid w:val="00DF6CB1"/>
    <w:rsid w:val="00E0077A"/>
    <w:rsid w:val="00E105A7"/>
    <w:rsid w:val="00E13446"/>
    <w:rsid w:val="00E141AB"/>
    <w:rsid w:val="00E149D2"/>
    <w:rsid w:val="00E15C0B"/>
    <w:rsid w:val="00E160AE"/>
    <w:rsid w:val="00E20B8E"/>
    <w:rsid w:val="00E35FA2"/>
    <w:rsid w:val="00E37961"/>
    <w:rsid w:val="00E42157"/>
    <w:rsid w:val="00E42C0D"/>
    <w:rsid w:val="00E50729"/>
    <w:rsid w:val="00E53AD2"/>
    <w:rsid w:val="00E547F7"/>
    <w:rsid w:val="00E56D43"/>
    <w:rsid w:val="00E57DEA"/>
    <w:rsid w:val="00E61231"/>
    <w:rsid w:val="00E63D9B"/>
    <w:rsid w:val="00E64F79"/>
    <w:rsid w:val="00E66715"/>
    <w:rsid w:val="00E6756B"/>
    <w:rsid w:val="00E7528F"/>
    <w:rsid w:val="00E758C1"/>
    <w:rsid w:val="00E7653C"/>
    <w:rsid w:val="00E766A1"/>
    <w:rsid w:val="00E76C2F"/>
    <w:rsid w:val="00E81B64"/>
    <w:rsid w:val="00E81C14"/>
    <w:rsid w:val="00E8469C"/>
    <w:rsid w:val="00E86345"/>
    <w:rsid w:val="00E86AAB"/>
    <w:rsid w:val="00E86E0A"/>
    <w:rsid w:val="00E87CE5"/>
    <w:rsid w:val="00E910C0"/>
    <w:rsid w:val="00E97A21"/>
    <w:rsid w:val="00EA1A10"/>
    <w:rsid w:val="00EA22F4"/>
    <w:rsid w:val="00EA511B"/>
    <w:rsid w:val="00EA5330"/>
    <w:rsid w:val="00EB1E0D"/>
    <w:rsid w:val="00EC1F26"/>
    <w:rsid w:val="00EC2C53"/>
    <w:rsid w:val="00EC3C58"/>
    <w:rsid w:val="00EC45E8"/>
    <w:rsid w:val="00EC65AA"/>
    <w:rsid w:val="00ED193C"/>
    <w:rsid w:val="00ED315F"/>
    <w:rsid w:val="00EE09BD"/>
    <w:rsid w:val="00EE1C5D"/>
    <w:rsid w:val="00EE42F3"/>
    <w:rsid w:val="00EE6697"/>
    <w:rsid w:val="00EF0D47"/>
    <w:rsid w:val="00EF0F99"/>
    <w:rsid w:val="00EF1839"/>
    <w:rsid w:val="00EF25C0"/>
    <w:rsid w:val="00EF2F90"/>
    <w:rsid w:val="00EF424D"/>
    <w:rsid w:val="00EF4ACF"/>
    <w:rsid w:val="00F06CDE"/>
    <w:rsid w:val="00F0729F"/>
    <w:rsid w:val="00F113BC"/>
    <w:rsid w:val="00F1272D"/>
    <w:rsid w:val="00F14354"/>
    <w:rsid w:val="00F14762"/>
    <w:rsid w:val="00F14C6D"/>
    <w:rsid w:val="00F161A5"/>
    <w:rsid w:val="00F22CAE"/>
    <w:rsid w:val="00F24710"/>
    <w:rsid w:val="00F24964"/>
    <w:rsid w:val="00F269F7"/>
    <w:rsid w:val="00F310F2"/>
    <w:rsid w:val="00F32078"/>
    <w:rsid w:val="00F361F0"/>
    <w:rsid w:val="00F36CE7"/>
    <w:rsid w:val="00F41322"/>
    <w:rsid w:val="00F41981"/>
    <w:rsid w:val="00F42D30"/>
    <w:rsid w:val="00F42F87"/>
    <w:rsid w:val="00F4573A"/>
    <w:rsid w:val="00F4580A"/>
    <w:rsid w:val="00F503F0"/>
    <w:rsid w:val="00F611C3"/>
    <w:rsid w:val="00F662A3"/>
    <w:rsid w:val="00F67C8E"/>
    <w:rsid w:val="00F70F83"/>
    <w:rsid w:val="00F724B2"/>
    <w:rsid w:val="00F73FFE"/>
    <w:rsid w:val="00F83785"/>
    <w:rsid w:val="00F87666"/>
    <w:rsid w:val="00F87B30"/>
    <w:rsid w:val="00F90268"/>
    <w:rsid w:val="00F91038"/>
    <w:rsid w:val="00F94C74"/>
    <w:rsid w:val="00F975E3"/>
    <w:rsid w:val="00FB02B0"/>
    <w:rsid w:val="00FB06B4"/>
    <w:rsid w:val="00FB2474"/>
    <w:rsid w:val="00FC0B1A"/>
    <w:rsid w:val="00FC2258"/>
    <w:rsid w:val="00FC3151"/>
    <w:rsid w:val="00FC3236"/>
    <w:rsid w:val="00FC469B"/>
    <w:rsid w:val="00FC5AA7"/>
    <w:rsid w:val="00FC62FC"/>
    <w:rsid w:val="00FD493A"/>
    <w:rsid w:val="00FE0A87"/>
    <w:rsid w:val="00FE0AC9"/>
    <w:rsid w:val="00FE41B1"/>
    <w:rsid w:val="00FE4DA1"/>
    <w:rsid w:val="00FE4EA0"/>
    <w:rsid w:val="00FE5DA8"/>
    <w:rsid w:val="00FE5FC7"/>
    <w:rsid w:val="00FE7787"/>
    <w:rsid w:val="00FF1EA0"/>
    <w:rsid w:val="00FF4A90"/>
    <w:rsid w:val="00FF5565"/>
    <w:rsid w:val="00FF5748"/>
    <w:rsid w:val="021F24B4"/>
    <w:rsid w:val="04AA286D"/>
    <w:rsid w:val="0E1C013A"/>
    <w:rsid w:val="10036AB0"/>
    <w:rsid w:val="14851794"/>
    <w:rsid w:val="19FF563F"/>
    <w:rsid w:val="224C324D"/>
    <w:rsid w:val="2F727CE6"/>
    <w:rsid w:val="2F9F6EDC"/>
    <w:rsid w:val="30C10112"/>
    <w:rsid w:val="32924499"/>
    <w:rsid w:val="34AB283C"/>
    <w:rsid w:val="3FF95641"/>
    <w:rsid w:val="3FFD1E48"/>
    <w:rsid w:val="41C66765"/>
    <w:rsid w:val="54CB7779"/>
    <w:rsid w:val="64952318"/>
    <w:rsid w:val="6AFE21BC"/>
    <w:rsid w:val="6C5A342F"/>
    <w:rsid w:val="6D182C34"/>
    <w:rsid w:val="6D9D018F"/>
    <w:rsid w:val="6E3B771B"/>
    <w:rsid w:val="735A60D6"/>
    <w:rsid w:val="744C085C"/>
    <w:rsid w:val="75341746"/>
    <w:rsid w:val="7A2C1BD6"/>
    <w:rsid w:val="7CE467AC"/>
    <w:rsid w:val="7F7D6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59779"/>
  <w15:docId w15:val="{D9429BA8-F05A-4A53-95EC-2AD8CCCA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iPriority="0" w:qFormat="1"/>
    <w:lsdException w:name="macro" w:semiHidden="1" w:unhideWhenUsed="1"/>
    <w:lsdException w:name="toa heading" w:semiHidden="1"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3"/>
    <w:next w:val="a"/>
    <w:link w:val="21"/>
    <w:qFormat/>
    <w:pPr>
      <w:keepNext w:val="0"/>
      <w:keepLines w:val="0"/>
      <w:spacing w:before="0" w:after="0" w:line="240" w:lineRule="auto"/>
      <w:ind w:firstLineChars="200" w:firstLine="600"/>
      <w:jc w:val="left"/>
      <w:outlineLvl w:val="1"/>
    </w:pPr>
    <w:rPr>
      <w:rFonts w:ascii="黑体" w:eastAsia="黑体" w:hAnsi="黑体"/>
      <w:b w:val="0"/>
      <w:bCs w:val="0"/>
      <w:smallCaps/>
      <w:sz w:val="30"/>
      <w:szCs w:val="30"/>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style>
  <w:style w:type="paragraph" w:styleId="a3">
    <w:name w:val="table of authorities"/>
    <w:basedOn w:val="a"/>
    <w:next w:val="a"/>
    <w:semiHidden/>
    <w:qFormat/>
    <w:pPr>
      <w:ind w:leftChars="200" w:left="420"/>
    </w:pPr>
  </w:style>
  <w:style w:type="paragraph" w:styleId="8">
    <w:name w:val="index 8"/>
    <w:basedOn w:val="a"/>
    <w:next w:val="a"/>
    <w:semiHidden/>
    <w:qFormat/>
    <w:pPr>
      <w:ind w:leftChars="1400" w:left="1400"/>
    </w:pPr>
  </w:style>
  <w:style w:type="paragraph" w:styleId="5">
    <w:name w:val="index 5"/>
    <w:basedOn w:val="a"/>
    <w:next w:val="a"/>
    <w:semiHidden/>
    <w:qFormat/>
    <w:pPr>
      <w:ind w:leftChars="800" w:left="800"/>
    </w:pPr>
  </w:style>
  <w:style w:type="paragraph" w:styleId="a4">
    <w:name w:val="Document Map"/>
    <w:basedOn w:val="a"/>
    <w:link w:val="a5"/>
    <w:uiPriority w:val="99"/>
    <w:unhideWhenUsed/>
    <w:qFormat/>
    <w:rPr>
      <w:rFonts w:ascii="宋体"/>
      <w:sz w:val="18"/>
      <w:szCs w:val="18"/>
    </w:rPr>
  </w:style>
  <w:style w:type="paragraph" w:styleId="a6">
    <w:name w:val="toa heading"/>
    <w:basedOn w:val="a"/>
    <w:next w:val="a"/>
    <w:semiHidden/>
    <w:qFormat/>
    <w:pPr>
      <w:spacing w:before="120"/>
    </w:pPr>
    <w:rPr>
      <w:rFonts w:ascii="Arial" w:hAnsi="Arial"/>
      <w:b/>
      <w:bCs/>
    </w:rPr>
  </w:style>
  <w:style w:type="paragraph" w:styleId="a7">
    <w:name w:val="annotation text"/>
    <w:basedOn w:val="a"/>
    <w:semiHidden/>
    <w:qFormat/>
    <w:pPr>
      <w:jc w:val="left"/>
    </w:pPr>
  </w:style>
  <w:style w:type="paragraph" w:styleId="6">
    <w:name w:val="index 6"/>
    <w:basedOn w:val="a"/>
    <w:next w:val="a"/>
    <w:semiHidden/>
    <w:qFormat/>
    <w:pPr>
      <w:ind w:leftChars="1000" w:left="1000"/>
    </w:pPr>
  </w:style>
  <w:style w:type="paragraph" w:styleId="a8">
    <w:name w:val="Body Text"/>
    <w:basedOn w:val="a"/>
    <w:qFormat/>
    <w:pPr>
      <w:spacing w:after="120"/>
    </w:pPr>
  </w:style>
  <w:style w:type="paragraph" w:styleId="a9">
    <w:name w:val="Body Text Indent"/>
    <w:basedOn w:val="a"/>
    <w:qFormat/>
    <w:pPr>
      <w:spacing w:after="120"/>
      <w:ind w:leftChars="200" w:left="420"/>
    </w:pPr>
  </w:style>
  <w:style w:type="paragraph" w:styleId="22">
    <w:name w:val="List 2"/>
    <w:basedOn w:val="a"/>
    <w:qFormat/>
    <w:pPr>
      <w:ind w:leftChars="200" w:left="100" w:hangingChars="200" w:hanging="200"/>
    </w:pPr>
  </w:style>
  <w:style w:type="paragraph" w:styleId="aa">
    <w:name w:val="List Continue"/>
    <w:basedOn w:val="a"/>
    <w:qFormat/>
    <w:pPr>
      <w:spacing w:after="120"/>
      <w:ind w:leftChars="200" w:left="420"/>
    </w:pPr>
  </w:style>
  <w:style w:type="paragraph" w:styleId="2">
    <w:name w:val="List Bullet 2"/>
    <w:basedOn w:val="a"/>
    <w:qFormat/>
    <w:pPr>
      <w:numPr>
        <w:numId w:val="1"/>
      </w:numPr>
    </w:pPr>
  </w:style>
  <w:style w:type="paragraph" w:styleId="4">
    <w:name w:val="index 4"/>
    <w:basedOn w:val="a"/>
    <w:next w:val="a"/>
    <w:semiHidden/>
    <w:qFormat/>
    <w:pPr>
      <w:ind w:leftChars="600" w:left="600"/>
    </w:pPr>
  </w:style>
  <w:style w:type="paragraph" w:styleId="ab">
    <w:name w:val="Plain Text"/>
    <w:basedOn w:val="a"/>
    <w:qFormat/>
    <w:rPr>
      <w:rFonts w:ascii="宋体" w:hAnsi="Courier New" w:cs="仿宋_GB2312"/>
      <w:szCs w:val="21"/>
    </w:rPr>
  </w:style>
  <w:style w:type="paragraph" w:styleId="32">
    <w:name w:val="index 3"/>
    <w:basedOn w:val="a"/>
    <w:next w:val="a"/>
    <w:semiHidden/>
    <w:qFormat/>
    <w:pPr>
      <w:ind w:leftChars="400" w:left="400"/>
    </w:pPr>
  </w:style>
  <w:style w:type="paragraph" w:styleId="23">
    <w:name w:val="Body Text Indent 2"/>
    <w:basedOn w:val="a"/>
    <w:qFormat/>
    <w:pPr>
      <w:ind w:firstLineChars="239" w:firstLine="720"/>
    </w:pPr>
    <w:rPr>
      <w:b/>
      <w:bCs/>
      <w:sz w:val="30"/>
    </w:r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af1">
    <w:name w:val="index heading"/>
    <w:basedOn w:val="a"/>
    <w:next w:val="10"/>
    <w:semiHidden/>
    <w:qFormat/>
  </w:style>
  <w:style w:type="paragraph" w:styleId="10">
    <w:name w:val="index 1"/>
    <w:basedOn w:val="a"/>
    <w:next w:val="a"/>
    <w:semiHidden/>
    <w:qFormat/>
  </w:style>
  <w:style w:type="paragraph" w:styleId="af2">
    <w:name w:val="List"/>
    <w:basedOn w:val="a"/>
    <w:qFormat/>
    <w:pPr>
      <w:ind w:left="200" w:hangingChars="200" w:hanging="200"/>
    </w:pPr>
  </w:style>
  <w:style w:type="paragraph" w:styleId="af3">
    <w:name w:val="footnote text"/>
    <w:basedOn w:val="a"/>
    <w:semiHidden/>
    <w:qFormat/>
    <w:pPr>
      <w:snapToGrid w:val="0"/>
      <w:jc w:val="left"/>
    </w:pPr>
    <w:rPr>
      <w:sz w:val="18"/>
      <w:szCs w:val="18"/>
    </w:rPr>
  </w:style>
  <w:style w:type="paragraph" w:styleId="33">
    <w:name w:val="Body Text Indent 3"/>
    <w:basedOn w:val="a"/>
    <w:qFormat/>
    <w:pPr>
      <w:ind w:firstLineChars="179" w:firstLine="537"/>
    </w:pPr>
    <w:rPr>
      <w:sz w:val="30"/>
    </w:rPr>
  </w:style>
  <w:style w:type="paragraph" w:styleId="7">
    <w:name w:val="index 7"/>
    <w:basedOn w:val="a"/>
    <w:next w:val="a"/>
    <w:semiHidden/>
    <w:qFormat/>
    <w:pPr>
      <w:ind w:leftChars="1200" w:left="1200"/>
    </w:pPr>
  </w:style>
  <w:style w:type="paragraph" w:styleId="9">
    <w:name w:val="index 9"/>
    <w:basedOn w:val="a"/>
    <w:next w:val="a"/>
    <w:semiHidden/>
    <w:qFormat/>
    <w:pPr>
      <w:ind w:leftChars="1600" w:left="1600"/>
    </w:pPr>
  </w:style>
  <w:style w:type="paragraph" w:styleId="24">
    <w:name w:val="Body Text 2"/>
    <w:basedOn w:val="a"/>
    <w:qFormat/>
    <w:rPr>
      <w:b/>
      <w:bCs/>
      <w:sz w:val="30"/>
    </w:rPr>
  </w:style>
  <w:style w:type="paragraph" w:styleId="40">
    <w:name w:val="List 4"/>
    <w:basedOn w:val="a"/>
    <w:qFormat/>
    <w:pPr>
      <w:ind w:leftChars="600" w:left="100" w:hangingChars="200" w:hanging="200"/>
    </w:pPr>
  </w:style>
  <w:style w:type="paragraph" w:styleId="25">
    <w:name w:val="List Continue 2"/>
    <w:basedOn w:val="a"/>
    <w:qFormat/>
    <w:pPr>
      <w:spacing w:after="120"/>
      <w:ind w:leftChars="400" w:left="840"/>
    </w:pPr>
  </w:style>
  <w:style w:type="paragraph" w:styleId="26">
    <w:name w:val="index 2"/>
    <w:basedOn w:val="a"/>
    <w:next w:val="a"/>
    <w:semiHidden/>
    <w:qFormat/>
    <w:pPr>
      <w:ind w:leftChars="200" w:left="200"/>
    </w:pPr>
  </w:style>
  <w:style w:type="paragraph" w:styleId="af4">
    <w:name w:val="Title"/>
    <w:basedOn w:val="a8"/>
    <w:next w:val="a"/>
    <w:link w:val="af5"/>
    <w:qFormat/>
    <w:pPr>
      <w:jc w:val="center"/>
    </w:pPr>
    <w:rPr>
      <w:rFonts w:ascii="仿宋_GB2312" w:eastAsia="仿宋_GB2312" w:hAnsi="仿宋"/>
    </w:rPr>
  </w:style>
  <w:style w:type="paragraph" w:styleId="af6">
    <w:name w:val="annotation subject"/>
    <w:basedOn w:val="a7"/>
    <w:next w:val="a7"/>
    <w:semiHidden/>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qFormat/>
  </w:style>
  <w:style w:type="character" w:styleId="af9">
    <w:name w:val="annotation reference"/>
    <w:semiHidden/>
    <w:qFormat/>
    <w:rPr>
      <w:sz w:val="21"/>
      <w:szCs w:val="21"/>
    </w:rPr>
  </w:style>
  <w:style w:type="character" w:styleId="afa">
    <w:name w:val="footnote reference"/>
    <w:semiHidden/>
    <w:qFormat/>
    <w:rPr>
      <w:rFonts w:cs="Times New Roman"/>
      <w:vertAlign w:val="superscript"/>
    </w:rPr>
  </w:style>
  <w:style w:type="character" w:customStyle="1" w:styleId="30">
    <w:name w:val="标题 3 字符"/>
    <w:link w:val="3"/>
    <w:qFormat/>
    <w:rPr>
      <w:b/>
      <w:bCs/>
      <w:kern w:val="2"/>
      <w:sz w:val="32"/>
      <w:szCs w:val="32"/>
    </w:rPr>
  </w:style>
  <w:style w:type="character" w:customStyle="1" w:styleId="21">
    <w:name w:val="标题 2 字符"/>
    <w:link w:val="20"/>
    <w:qFormat/>
    <w:rPr>
      <w:rFonts w:ascii="黑体" w:eastAsia="黑体" w:hAnsi="黑体"/>
      <w:smallCaps/>
      <w:kern w:val="2"/>
      <w:sz w:val="30"/>
      <w:szCs w:val="30"/>
    </w:rPr>
  </w:style>
  <w:style w:type="character" w:customStyle="1" w:styleId="a5">
    <w:name w:val="文档结构图 字符"/>
    <w:link w:val="a4"/>
    <w:uiPriority w:val="99"/>
    <w:semiHidden/>
    <w:qFormat/>
    <w:rPr>
      <w:rFonts w:ascii="宋体"/>
      <w:kern w:val="2"/>
      <w:sz w:val="18"/>
      <w:szCs w:val="18"/>
    </w:rPr>
  </w:style>
  <w:style w:type="character" w:customStyle="1" w:styleId="ae">
    <w:name w:val="页脚 字符"/>
    <w:link w:val="ad"/>
    <w:uiPriority w:val="99"/>
    <w:qFormat/>
    <w:rPr>
      <w:kern w:val="2"/>
      <w:sz w:val="18"/>
      <w:szCs w:val="18"/>
    </w:rPr>
  </w:style>
  <w:style w:type="character" w:customStyle="1" w:styleId="af0">
    <w:name w:val="页眉 字符"/>
    <w:link w:val="af"/>
    <w:qFormat/>
    <w:rPr>
      <w:kern w:val="2"/>
      <w:sz w:val="18"/>
      <w:szCs w:val="18"/>
    </w:rPr>
  </w:style>
  <w:style w:type="character" w:customStyle="1" w:styleId="af5">
    <w:name w:val="标题 字符"/>
    <w:link w:val="af4"/>
    <w:qFormat/>
    <w:rPr>
      <w:rFonts w:ascii="仿宋_GB2312" w:eastAsia="仿宋_GB2312" w:hAnsi="仿宋"/>
      <w:kern w:val="2"/>
      <w:sz w:val="21"/>
      <w:szCs w:val="24"/>
    </w:rPr>
  </w:style>
  <w:style w:type="character" w:customStyle="1" w:styleId="CommentSubjectChar">
    <w:name w:val="Comment Subject Char"/>
    <w:semiHidden/>
    <w:qFormat/>
    <w:locked/>
    <w:rPr>
      <w:rFonts w:cs="Times New Roman"/>
      <w:b/>
      <w:bCs/>
      <w:kern w:val="2"/>
      <w:sz w:val="24"/>
      <w:szCs w:val="24"/>
    </w:rPr>
  </w:style>
  <w:style w:type="character" w:customStyle="1" w:styleId="BalloonTextChar">
    <w:name w:val="Balloon Text Char"/>
    <w:semiHidden/>
    <w:qFormat/>
    <w:locked/>
    <w:rPr>
      <w:rFonts w:cs="Times New Roman"/>
      <w:kern w:val="2"/>
      <w:sz w:val="2"/>
    </w:rPr>
  </w:style>
  <w:style w:type="character" w:customStyle="1" w:styleId="FootnoteTextChar">
    <w:name w:val="Footnote Text Char"/>
    <w:semiHidden/>
    <w:qFormat/>
    <w:locked/>
    <w:rPr>
      <w:rFonts w:cs="Times New Roman"/>
      <w:kern w:val="2"/>
      <w:sz w:val="18"/>
      <w:szCs w:val="18"/>
    </w:rPr>
  </w:style>
  <w:style w:type="character" w:customStyle="1" w:styleId="FooterChar">
    <w:name w:val="Footer Char"/>
    <w:semiHidden/>
    <w:qFormat/>
    <w:locked/>
    <w:rPr>
      <w:rFonts w:cs="Times New Roman"/>
      <w:kern w:val="2"/>
      <w:sz w:val="18"/>
      <w:szCs w:val="18"/>
    </w:rPr>
  </w:style>
  <w:style w:type="character" w:customStyle="1" w:styleId="Heading2Char">
    <w:name w:val="Heading 2 Char"/>
    <w:semiHidden/>
    <w:qFormat/>
    <w:locked/>
    <w:rPr>
      <w:rFonts w:ascii="Cambria" w:eastAsia="宋体" w:hAnsi="Cambria" w:cs="Times New Roman"/>
      <w:b/>
      <w:bCs/>
      <w:kern w:val="2"/>
      <w:sz w:val="32"/>
      <w:szCs w:val="32"/>
    </w:rPr>
  </w:style>
  <w:style w:type="character" w:customStyle="1" w:styleId="CommentTextChar">
    <w:name w:val="Comment Text Char"/>
    <w:semiHidden/>
    <w:qFormat/>
    <w:locked/>
    <w:rPr>
      <w:rFonts w:cs="Times New Roman"/>
      <w:kern w:val="2"/>
      <w:sz w:val="24"/>
      <w:szCs w:val="24"/>
    </w:rPr>
  </w:style>
  <w:style w:type="character" w:customStyle="1" w:styleId="msoins0">
    <w:name w:val="msoins"/>
    <w:qFormat/>
  </w:style>
  <w:style w:type="character" w:customStyle="1" w:styleId="PlainTextChar">
    <w:name w:val="Plain Text Char"/>
    <w:semiHidden/>
    <w:qFormat/>
    <w:locked/>
    <w:rPr>
      <w:rFonts w:ascii="宋体" w:hAnsi="Courier New" w:cs="Courier New"/>
      <w:kern w:val="2"/>
      <w:sz w:val="21"/>
      <w:szCs w:val="21"/>
    </w:rPr>
  </w:style>
  <w:style w:type="paragraph" w:customStyle="1" w:styleId="Default">
    <w:name w:val="Default"/>
    <w:qFormat/>
    <w:pPr>
      <w:widowControl w:val="0"/>
      <w:autoSpaceDE w:val="0"/>
      <w:autoSpaceDN w:val="0"/>
      <w:adjustRightInd w:val="0"/>
    </w:pPr>
    <w:rPr>
      <w:rFonts w:ascii="Helvetica" w:hAnsi="Helvetica" w:cs="Helvetica"/>
      <w:color w:val="000000"/>
      <w:sz w:val="24"/>
      <w:szCs w:val="24"/>
    </w:rPr>
  </w:style>
  <w:style w:type="paragraph" w:customStyle="1" w:styleId="11">
    <w:name w:val="修订1"/>
    <w:uiPriority w:val="99"/>
    <w:semiHidden/>
    <w:qFormat/>
    <w:rPr>
      <w:kern w:val="2"/>
      <w:sz w:val="21"/>
      <w:szCs w:val="24"/>
    </w:rPr>
  </w:style>
  <w:style w:type="paragraph" w:customStyle="1" w:styleId="CM43">
    <w:name w:val="CM43"/>
    <w:basedOn w:val="Default"/>
    <w:next w:val="Default"/>
    <w:qFormat/>
    <w:pPr>
      <w:spacing w:after="130"/>
    </w:pPr>
    <w:rPr>
      <w:rFonts w:cs="Times New Roman"/>
      <w:color w:val="auto"/>
    </w:rPr>
  </w:style>
  <w:style w:type="paragraph" w:customStyle="1" w:styleId="Paragraph">
    <w:name w:val="Paragraph"/>
    <w:basedOn w:val="a"/>
    <w:next w:val="a"/>
    <w:qFormat/>
    <w:pPr>
      <w:autoSpaceDE w:val="0"/>
      <w:autoSpaceDN w:val="0"/>
      <w:adjustRightInd w:val="0"/>
      <w:spacing w:before="100" w:after="100"/>
      <w:jc w:val="left"/>
    </w:pPr>
    <w:rPr>
      <w:kern w:val="0"/>
      <w:sz w:val="24"/>
    </w:rPr>
  </w:style>
  <w:style w:type="paragraph" w:customStyle="1" w:styleId="Question">
    <w:name w:val="Question"/>
    <w:basedOn w:val="a"/>
    <w:next w:val="a"/>
    <w:qFormat/>
    <w:pPr>
      <w:autoSpaceDE w:val="0"/>
      <w:autoSpaceDN w:val="0"/>
      <w:adjustRightInd w:val="0"/>
      <w:jc w:val="left"/>
    </w:pPr>
    <w:rPr>
      <w:kern w:val="0"/>
      <w:sz w:val="24"/>
    </w:rPr>
  </w:style>
  <w:style w:type="paragraph" w:customStyle="1" w:styleId="entext">
    <w:name w:val="entext"/>
    <w:basedOn w:val="a"/>
    <w:qFormat/>
    <w:pPr>
      <w:widowControl/>
      <w:spacing w:before="100" w:beforeAutospacing="1" w:after="100" w:afterAutospacing="1"/>
      <w:jc w:val="left"/>
    </w:pPr>
    <w:rPr>
      <w:rFonts w:ascii="Arial Unicode MS" w:hAnsi="Arial Unicode MS"/>
      <w:kern w:val="0"/>
      <w:sz w:val="24"/>
    </w:rPr>
  </w:style>
  <w:style w:type="paragraph" w:customStyle="1" w:styleId="CM3">
    <w:name w:val="CM3"/>
    <w:basedOn w:val="Default"/>
    <w:next w:val="Default"/>
    <w:qFormat/>
    <w:rPr>
      <w:rFonts w:cs="Times New Roman"/>
      <w:color w:val="auto"/>
    </w:rPr>
  </w:style>
  <w:style w:type="paragraph" w:styleId="afb">
    <w:name w:val="List Paragraph"/>
    <w:basedOn w:val="a"/>
    <w:qFormat/>
    <w:pPr>
      <w:ind w:firstLineChars="200" w:firstLine="420"/>
    </w:pPr>
    <w:rPr>
      <w:rFonts w:ascii="Calibri" w:hAnsi="Calibri"/>
      <w:szCs w:val="22"/>
    </w:rPr>
  </w:style>
  <w:style w:type="paragraph" w:customStyle="1" w:styleId="27">
    <w:name w:val="修订2"/>
    <w:hidden/>
    <w:uiPriority w:val="99"/>
    <w:unhideWhenUsed/>
    <w:qFormat/>
    <w:rPr>
      <w:kern w:val="2"/>
      <w:sz w:val="21"/>
      <w:szCs w:val="24"/>
    </w:rPr>
  </w:style>
  <w:style w:type="paragraph" w:customStyle="1" w:styleId="34">
    <w:name w:val="修订3"/>
    <w:hidden/>
    <w:uiPriority w:val="99"/>
    <w:semiHidden/>
    <w:qFormat/>
    <w:rPr>
      <w:kern w:val="2"/>
      <w:sz w:val="21"/>
      <w:szCs w:val="24"/>
    </w:rPr>
  </w:style>
  <w:style w:type="paragraph" w:styleId="afc">
    <w:name w:val="Revision"/>
    <w:hidden/>
    <w:uiPriority w:val="99"/>
    <w:unhideWhenUsed/>
    <w:rsid w:val="00734D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952</Words>
  <Characters>5427</Characters>
  <Application>Microsoft Office Word</Application>
  <DocSecurity>0</DocSecurity>
  <Lines>45</Lines>
  <Paragraphs>12</Paragraphs>
  <ScaleCrop>false</ScaleCrop>
  <Company>boc</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附件10</dc:title>
  <dc:creator>admin</dc:creator>
  <cp:lastModifiedBy>梁爽</cp:lastModifiedBy>
  <cp:revision>10</cp:revision>
  <cp:lastPrinted>2011-03-19T16:03:00Z</cp:lastPrinted>
  <dcterms:created xsi:type="dcterms:W3CDTF">2023-10-27T00:54:00Z</dcterms:created>
  <dcterms:modified xsi:type="dcterms:W3CDTF">2023-10-31T11:20:00Z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64A1F947E4334354AAE7975A68D8AB1D_13</vt:lpwstr>
  </property>
</Properties>
</file>