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jc w:val="left"/>
        <w:rPr>
          <w:rFonts w:ascii="黑体" w:hAnsi="黑体" w:eastAsia="黑体" w:cs="黑体"/>
          <w:sz w:val="32"/>
          <w:szCs w:val="30"/>
        </w:rPr>
      </w:pPr>
      <w:r>
        <w:rPr>
          <w:rFonts w:hint="eastAsia" w:ascii="黑体" w:hAnsi="黑体" w:eastAsia="黑体" w:cs="黑体"/>
          <w:sz w:val="32"/>
          <w:szCs w:val="30"/>
        </w:rPr>
        <w:t>附件</w:t>
      </w:r>
      <w:r>
        <w:rPr>
          <w:rFonts w:ascii="黑体" w:hAnsi="黑体" w:eastAsia="黑体" w:cs="黑体"/>
          <w:sz w:val="32"/>
          <w:szCs w:val="30"/>
        </w:rPr>
        <w:t>17</w:t>
      </w:r>
    </w:p>
    <w:p>
      <w:pPr>
        <w:pStyle w:val="12"/>
        <w:spacing w:line="600" w:lineRule="exact"/>
        <w:jc w:val="left"/>
        <w:rPr>
          <w:rFonts w:ascii="楷体_GB2312" w:eastAsia="楷体_GB2312"/>
          <w:sz w:val="32"/>
          <w:szCs w:val="30"/>
        </w:rPr>
      </w:pPr>
    </w:p>
    <w:p>
      <w:pPr>
        <w:pStyle w:val="2"/>
        <w:spacing w:line="600" w:lineRule="exact"/>
        <w:ind w:firstLine="0" w:firstLineChars="0"/>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信用估值调整风险加权资产计量规则</w:t>
      </w:r>
    </w:p>
    <w:p>
      <w:pPr>
        <w:spacing w:line="600" w:lineRule="exact"/>
        <w:ind w:firstLine="602" w:firstLineChars="200"/>
        <w:rPr>
          <w:rFonts w:eastAsia="黑体"/>
          <w:b/>
          <w:sz w:val="30"/>
          <w:szCs w:val="30"/>
        </w:rPr>
      </w:pPr>
    </w:p>
    <w:p>
      <w:pPr>
        <w:pStyle w:val="3"/>
        <w:spacing w:line="600" w:lineRule="exact"/>
      </w:pPr>
      <w:r>
        <w:rPr>
          <w:rFonts w:hint="eastAsia"/>
        </w:rPr>
        <w:t>一、总体要求</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一）商业银行应对与非合格中央交易对手开展的衍生工具交易计量信用估值调整风险（CVA）资本要求，其中，非合格中央交易对手包括非中央交易对手和不合格中央交易对手，衍生工具的范围见本办法附件9第一部分（四）。</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商业银行无需计量证券融资交易的信用估值调整风险资本要求，其中，证券融资交易的范围见本办法附件9第一部分（五）。</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对于证券融资交易信用估值调整风险较大的商业银行，国家金融监督管理总局</w:t>
      </w:r>
      <w:r>
        <w:rPr>
          <w:rFonts w:hint="eastAsia" w:ascii="仿宋_GB2312" w:hAnsi="Times New Roman" w:eastAsia="仿宋_GB2312" w:cs="Times New Roman"/>
          <w:color w:val="auto"/>
          <w:kern w:val="2"/>
          <w:sz w:val="30"/>
          <w:szCs w:val="30"/>
          <w:lang w:eastAsia="zh-CN"/>
        </w:rPr>
        <w:t>或其派出机构</w:t>
      </w:r>
      <w:bookmarkStart w:id="0" w:name="_GoBack"/>
      <w:bookmarkEnd w:id="0"/>
      <w:r>
        <w:rPr>
          <w:rFonts w:hint="eastAsia" w:ascii="仿宋_GB2312" w:hAnsi="Times New Roman" w:eastAsia="仿宋_GB2312" w:cs="Times New Roman"/>
          <w:color w:val="auto"/>
          <w:kern w:val="2"/>
          <w:sz w:val="30"/>
          <w:szCs w:val="30"/>
        </w:rPr>
        <w:t>有权要求其额外计量该类业务的信用估值调整风险资本。</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二）商业银行非合格中央交易对手衍生工具名义本金合计小于或等于8000亿元的，应采用简化方法，即取交易对手违约风险资本要求作为其信用估值调整风险资本要求。在此情况下，不认可信用估值调整风险对冲影响。</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三）信用估值调整风险对冲工具可以是与其他交易对手开展的外部工具，也可以是与商业银行某一交易台开展的内部工具。如果外部信用估值调整风险对冲属于本部分（一）规定的范围，应对该对冲交易计量交易对手信用估值调整风险资本要求。合格的外部信用估值调整风险对冲工具无需计量市场风险资本，不合格的外部信用估值调整风险对冲工具视为交易账簿工具，并纳入市场风险资本计量框架。如果内部信用估值调整风险为合格对冲，信用估值调整风险交易台的头寸应纳入信用估值调整风险资本计量框架，其对应头寸作为交易账簿头寸纳入市场风险资本框架计量资本要求。</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（四）合格对冲交易应符合以下特征：</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1.交易目的为缓释信用估值调整风险中的交易对手信用利差；</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2.交易品种为单名信用违约互换、单名或有信用违约互换或指数信用违约互换。</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（五）合格的单名信用工具应满足以下情形之一：</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1.直接基于该交易对手；</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2.基于与交易对手具有法律相关性的实体，其中法律相关性是指和交易对手是母公司与子公司或共同一个母公司的关系；</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3.基于与交易对手同在一个行业或地区的实体。</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（六）信用估值调整风险资本要求的计量分为简化版和完整版。存在信用估值调整风险合格对冲的商业银行可适用完整版。</w:t>
      </w:r>
    </w:p>
    <w:p>
      <w:pPr>
        <w:pStyle w:val="3"/>
      </w:pPr>
      <w:r>
        <w:rPr>
          <w:rFonts w:hint="eastAsia"/>
        </w:rPr>
        <w:t>二、信用估值调整风险简化版风险加权资产的计量</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eastAsia="仿宋_GB2312"/>
          <w:sz w:val="30"/>
          <w:szCs w:val="30"/>
        </w:rPr>
        <w:t>（一）商业银行应采用以下公式计量信用估值调整风险加权资</w:t>
      </w:r>
      <w:r>
        <w:rPr>
          <w:rFonts w:hint="eastAsia" w:ascii="仿宋_GB2312" w:hAnsi="Times New Roman" w:eastAsia="仿宋_GB2312" w:cs="Times New Roman"/>
          <w:color w:val="auto"/>
          <w:kern w:val="2"/>
          <w:sz w:val="30"/>
          <w:szCs w:val="30"/>
        </w:rPr>
        <w:t>产：</w:t>
      </w:r>
    </w:p>
    <w:p>
      <w:pPr>
        <w:pStyle w:val="20"/>
        <w:ind w:firstLine="600" w:firstLineChars="200"/>
        <w:jc w:val="center"/>
        <w:rPr>
          <w:rFonts w:ascii="仿宋_GB2312" w:hAnsi="Times New Roman" w:eastAsia="仿宋_GB2312" w:cs="Times New Roman"/>
          <w:sz w:val="30"/>
          <w:szCs w:val="30"/>
        </w:rPr>
      </w:pPr>
      <w:r>
        <w:rPr>
          <w:rFonts w:hint="eastAsia" w:ascii="仿宋_GB2312" w:hAnsi="Times New Roman" w:eastAsia="仿宋_GB2312" w:cs="Times New Roman"/>
          <w:position w:val="-12"/>
          <w:sz w:val="30"/>
          <w:szCs w:val="30"/>
        </w:rPr>
        <w:object>
          <v:shape id="_x0000_i1025" o:spt="75" type="#_x0000_t75" style="height:20pt;width:226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pStyle w:val="20"/>
        <w:ind w:firstLine="600" w:firstLineChars="200"/>
        <w:jc w:val="center"/>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18"/>
          <w:sz w:val="30"/>
          <w:szCs w:val="30"/>
        </w:rPr>
        <w:object>
          <v:shape id="_x0000_i1026" o:spt="75" type="#_x0000_t75" style="height:28pt;width:228.6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仿宋_GB2312" w:hAnsi="Times New Roman" w:eastAsia="仿宋_GB2312" w:cs="Times New Roman"/>
          <w:color w:val="auto"/>
          <w:kern w:val="2"/>
          <w:sz w:val="30"/>
          <w:szCs w:val="30"/>
        </w:rPr>
        <w:t xml:space="preserve"> </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其中：</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12"/>
          <w:sz w:val="30"/>
          <w:szCs w:val="30"/>
        </w:rPr>
        <w:object>
          <v:shape id="_x0000_i1027" o:spt="75" type="#_x0000_t75" style="height:19.35pt;width:41.3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仿宋_GB2312" w:hAnsi="Times New Roman" w:eastAsia="仿宋_GB2312" w:cs="Times New Roman"/>
          <w:color w:val="auto"/>
          <w:kern w:val="2"/>
          <w:sz w:val="30"/>
          <w:szCs w:val="30"/>
        </w:rPr>
        <w:t>是单独考虑交易对手c的信用估值调整风险资本要求。</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10"/>
          <w:sz w:val="30"/>
          <w:szCs w:val="30"/>
        </w:rPr>
        <w:object>
          <v:shape id="_x0000_i1028" o:spt="75" type="#_x0000_t75" style="height:15.35pt;width:13.3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仿宋_GB2312" w:hAnsi="Times New Roman" w:eastAsia="仿宋_GB2312" w:cs="Times New Roman"/>
          <w:color w:val="auto"/>
          <w:kern w:val="2"/>
          <w:sz w:val="30"/>
          <w:szCs w:val="30"/>
        </w:rPr>
        <w:t>是监管相关系数，</w:t>
      </w:r>
      <w:r>
        <w:rPr>
          <w:rFonts w:hint="eastAsia" w:ascii="仿宋_GB2312" w:hAnsi="Times New Roman" w:eastAsia="仿宋_GB2312" w:cs="Times New Roman"/>
          <w:position w:val="-10"/>
          <w:sz w:val="30"/>
          <w:szCs w:val="30"/>
        </w:rPr>
        <w:object>
          <v:shape id="_x0000_i1029" o:spt="75" type="#_x0000_t75" style="height:15.35pt;width:13.3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ascii="仿宋_GB2312" w:hAnsi="Times New Roman" w:eastAsia="仿宋_GB2312" w:cs="Times New Roman"/>
          <w:color w:val="auto"/>
          <w:kern w:val="2"/>
          <w:sz w:val="30"/>
          <w:szCs w:val="30"/>
        </w:rPr>
        <w:t>=0.5。</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（二）单独考虑交易对手c的信用估值调整风险资本要求</w:t>
      </w:r>
      <w:r>
        <w:rPr>
          <w:rFonts w:hint="eastAsia" w:ascii="仿宋_GB2312" w:hAnsi="Times New Roman" w:eastAsia="仿宋_GB2312" w:cs="Times New Roman"/>
          <w:position w:val="-12"/>
          <w:sz w:val="30"/>
          <w:szCs w:val="30"/>
        </w:rPr>
        <w:object>
          <v:shape id="_x0000_i1030" o:spt="75" type="#_x0000_t75" style="height:19.35pt;width:41.3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仿宋_GB2312" w:hAnsi="Times New Roman" w:eastAsia="仿宋_GB2312" w:cs="Times New Roman"/>
          <w:color w:val="auto"/>
          <w:kern w:val="2"/>
          <w:sz w:val="30"/>
          <w:szCs w:val="30"/>
        </w:rPr>
        <w:t>计算公式如下：</w:t>
      </w:r>
    </w:p>
    <w:p>
      <w:pPr>
        <w:pStyle w:val="20"/>
        <w:spacing w:before="156" w:beforeLines="50" w:after="156" w:afterLines="50"/>
        <w:ind w:firstLine="600" w:firstLineChars="200"/>
        <w:jc w:val="center"/>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28"/>
          <w:sz w:val="30"/>
          <w:szCs w:val="30"/>
        </w:rPr>
        <w:object>
          <v:shape id="_x0000_i1031" o:spt="75" type="#_x0000_t75" style="height:38.65pt;width:202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其中：</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12"/>
          <w:sz w:val="30"/>
          <w:szCs w:val="30"/>
        </w:rPr>
        <w:object>
          <v:shape id="_x0000_i1032" o:spt="75" type="#_x0000_t75" style="height:18.65pt;width:26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仿宋_GB2312" w:hAnsi="Times New Roman" w:eastAsia="仿宋_GB2312" w:cs="Times New Roman"/>
          <w:color w:val="auto"/>
          <w:kern w:val="2"/>
          <w:sz w:val="30"/>
          <w:szCs w:val="30"/>
        </w:rPr>
        <w:t>是交易对手c的风险权重，基于交易对手所属行业和信用水平综合确定。</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14"/>
          <w:sz w:val="30"/>
          <w:szCs w:val="30"/>
        </w:rPr>
        <w:object>
          <v:shape id="_x0000_i1033" o:spt="75" type="#_x0000_t75" style="height:20pt;width:30.6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仿宋_GB2312" w:hAnsi="Times New Roman" w:eastAsia="仿宋_GB2312" w:cs="Times New Roman"/>
          <w:color w:val="auto"/>
          <w:kern w:val="2"/>
          <w:sz w:val="30"/>
          <w:szCs w:val="30"/>
        </w:rPr>
        <w:t>是净额结算组合NS的有效期限，详见本办法</w:t>
      </w:r>
      <w:r>
        <w:rPr>
          <w:rFonts w:hint="eastAsia" w:ascii="仿宋_GB2312" w:hAnsi="Times New Roman" w:eastAsia="仿宋_GB2312" w:cs="Times New Roman"/>
          <w:sz w:val="30"/>
          <w:szCs w:val="30"/>
        </w:rPr>
        <w:t>附件5第六部分（六），且</w:t>
      </w:r>
      <w:r>
        <w:rPr>
          <w:rFonts w:hint="eastAsia" w:ascii="仿宋_GB2312" w:hAnsi="Times New Roman" w:eastAsia="仿宋_GB2312" w:cs="Times New Roman"/>
          <w:position w:val="-14"/>
          <w:sz w:val="30"/>
          <w:szCs w:val="30"/>
        </w:rPr>
        <w:object>
          <v:shape id="_x0000_i1034" o:spt="75" type="#_x0000_t75" style="height:20pt;width:30.6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仿宋_GB2312" w:hAnsi="Times New Roman" w:eastAsia="仿宋_GB2312" w:cs="Times New Roman"/>
          <w:sz w:val="30"/>
          <w:szCs w:val="30"/>
        </w:rPr>
        <w:t>不受上限（5年）和下限（1年）的限制</w:t>
      </w:r>
      <w:r>
        <w:rPr>
          <w:rFonts w:hint="eastAsia" w:ascii="仿宋_GB2312" w:hAnsi="Times New Roman" w:eastAsia="仿宋_GB2312" w:cs="Times New Roman"/>
          <w:color w:val="auto"/>
          <w:kern w:val="2"/>
          <w:sz w:val="30"/>
          <w:szCs w:val="30"/>
        </w:rPr>
        <w:t>。对于双边非净额结算交易，单笔交易视为一个净额结算组合。</w:t>
      </w:r>
    </w:p>
    <w:p>
      <w:pPr>
        <w:pStyle w:val="20"/>
        <w:spacing w:line="480" w:lineRule="exact"/>
        <w:ind w:firstLine="600" w:firstLineChars="200"/>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14"/>
          <w:sz w:val="30"/>
          <w:szCs w:val="30"/>
        </w:rPr>
        <w:object>
          <v:shape id="_x0000_i1035" o:spt="75" type="#_x0000_t75" style="height:20pt;width:46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仿宋_GB2312" w:hAnsi="Times New Roman" w:eastAsia="仿宋_GB2312" w:cs="Times New Roman"/>
          <w:color w:val="auto"/>
          <w:kern w:val="2"/>
          <w:sz w:val="30"/>
          <w:szCs w:val="30"/>
        </w:rPr>
        <w:t>是净额结算组合NS的违约风险暴露，计算方法与交易对手违约风险暴露计量规则一致，详见本办法附件9。</w:t>
      </w:r>
    </w:p>
    <w:p>
      <w:pPr>
        <w:pStyle w:val="20"/>
        <w:spacing w:before="156" w:beforeLines="50" w:after="312" w:afterLines="100" w:line="480" w:lineRule="exact"/>
        <w:ind w:firstLine="600" w:firstLineChars="200"/>
        <w:jc w:val="both"/>
        <w:rPr>
          <w:rFonts w:ascii="仿宋_GB2312" w:hAnsi="Times New Roman" w:eastAsia="仿宋_GB2312" w:cs="Times New Roman"/>
          <w:sz w:val="30"/>
          <w:szCs w:val="30"/>
        </w:rPr>
      </w:pPr>
      <w:r>
        <w:rPr>
          <w:rFonts w:hint="eastAsia" w:ascii="仿宋_GB2312" w:hAnsi="Times New Roman" w:eastAsia="仿宋_GB2312" w:cs="Times New Roman"/>
          <w:position w:val="-14"/>
          <w:sz w:val="30"/>
          <w:szCs w:val="30"/>
        </w:rPr>
        <w:object>
          <v:shape id="_x0000_i1036" o:spt="75" type="#_x0000_t75" style="height:20pt;width:36.6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仿宋_GB2312" w:hAnsi="Times New Roman" w:eastAsia="仿宋_GB2312" w:cs="Times New Roman"/>
          <w:sz w:val="30"/>
          <w:szCs w:val="30"/>
        </w:rPr>
        <w:t>是监管折现因子, 公式为</w:t>
      </w:r>
      <w:r>
        <w:rPr>
          <w:rFonts w:hint="eastAsia" w:ascii="仿宋_GB2312" w:hAnsi="Times New Roman" w:eastAsia="仿宋_GB2312" w:cs="Times New Roman"/>
          <w:position w:val="-34"/>
          <w:sz w:val="30"/>
          <w:szCs w:val="30"/>
        </w:rPr>
        <w:object>
          <v:shape id="_x0000_i1037" o:spt="75" type="#_x0000_t75" style="height:38.65pt;width:74.6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仿宋_GB2312" w:hAnsi="Times New Roman" w:eastAsia="仿宋_GB2312" w:cs="Times New Roman"/>
          <w:sz w:val="30"/>
          <w:szCs w:val="30"/>
        </w:rPr>
        <w:t xml:space="preserve"> </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6"/>
          <w:sz w:val="30"/>
          <w:szCs w:val="30"/>
        </w:rPr>
        <w:object>
          <v:shape id="_x0000_i1038" o:spt="75" type="#_x0000_t75" style="height:13.35pt;width:15.3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ascii="仿宋_GB2312" w:hAnsi="Times New Roman" w:eastAsia="仿宋_GB2312" w:cs="Times New Roman"/>
          <w:color w:val="auto"/>
          <w:kern w:val="2"/>
          <w:sz w:val="30"/>
          <w:szCs w:val="30"/>
        </w:rPr>
        <w:t>=1.4。</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（三）</w:t>
      </w:r>
      <w:r>
        <w:rPr>
          <w:rFonts w:hint="eastAsia" w:ascii="仿宋_GB2312" w:hAnsi="Times New Roman" w:eastAsia="仿宋_GB2312" w:cs="Times New Roman"/>
          <w:sz w:val="30"/>
          <w:szCs w:val="30"/>
        </w:rPr>
        <w:t>风险权重</w:t>
      </w:r>
      <w:r>
        <w:rPr>
          <w:rFonts w:hint="eastAsia" w:ascii="仿宋_GB2312" w:hAnsi="Times New Roman" w:eastAsia="仿宋_GB2312" w:cs="Times New Roman"/>
          <w:position w:val="-12"/>
          <w:sz w:val="30"/>
          <w:szCs w:val="30"/>
        </w:rPr>
        <w:object>
          <v:shape id="_x0000_i1039" o:spt="75" type="#_x0000_t75" style="height:18.65pt;width:26pt;" o:ole="t" filled="f" o:preferrelative="t" stroked="f" coordsize="21600,21600">
            <v:path/>
            <v:fill on="f" focussize="0,0"/>
            <v:stroke on="f" joinstyle="miter"/>
            <v:imagedata r:id="rId20" o:title=""/>
            <o:lock v:ext="edit" aspectratio="t"/>
            <w10:wrap type="none"/>
            <w10:anchorlock/>
          </v:shape>
          <o:OLEObject Type="Embed" ProgID="Equation.DSMT4" ShapeID="_x0000_i1039" DrawAspect="Content" ObjectID="_1468075739" r:id="rId33">
            <o:LockedField>false</o:LockedField>
          </o:OLEObject>
        </w:object>
      </w:r>
      <w:r>
        <w:rPr>
          <w:rFonts w:hint="eastAsia" w:ascii="仿宋_GB2312" w:hAnsi="Times New Roman" w:eastAsia="仿宋_GB2312" w:cs="Times New Roman"/>
          <w:color w:val="auto"/>
          <w:kern w:val="2"/>
          <w:sz w:val="30"/>
          <w:szCs w:val="30"/>
        </w:rPr>
        <w:t>如下表。其中，投资级别应符合本办法附件25标准，不满足投资级别标准的应认定为高收益级别。</w:t>
      </w:r>
    </w:p>
    <w:p>
      <w:pPr>
        <w:jc w:val="center"/>
        <w:rPr>
          <w:rFonts w:ascii="楷体_GB2312" w:eastAsia="楷体_GB2312"/>
          <w:sz w:val="30"/>
          <w:szCs w:val="30"/>
        </w:rPr>
      </w:pPr>
      <w:r>
        <w:rPr>
          <w:rFonts w:hint="eastAsia" w:ascii="楷体_GB2312" w:eastAsia="楷体_GB2312"/>
          <w:b/>
          <w:sz w:val="28"/>
          <w:szCs w:val="28"/>
        </w:rPr>
        <w:t>表1 风险权重</w:t>
      </w:r>
    </w:p>
    <w:tbl>
      <w:tblPr>
        <w:tblStyle w:val="14"/>
        <w:tblW w:w="7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14"/>
        <w:gridCol w:w="1429"/>
        <w:gridCol w:w="1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4514" w:type="dxa"/>
            <w:vMerge w:val="restart"/>
            <w:vAlign w:val="center"/>
          </w:tcPr>
          <w:p>
            <w:pPr>
              <w:pStyle w:val="21"/>
              <w:jc w:val="center"/>
              <w:rPr>
                <w:rFonts w:ascii="宋体" w:hAnsi="宋体" w:cs="宋体"/>
                <w:b/>
                <w:kern w:val="2"/>
              </w:rPr>
            </w:pPr>
            <w:r>
              <w:rPr>
                <w:rFonts w:hint="eastAsia" w:ascii="宋体" w:hAnsi="宋体" w:cs="宋体"/>
                <w:b/>
                <w:kern w:val="2"/>
              </w:rPr>
              <w:t>交易对手行业</w:t>
            </w:r>
          </w:p>
        </w:tc>
        <w:tc>
          <w:tcPr>
            <w:tcW w:w="2850" w:type="dxa"/>
            <w:gridSpan w:val="2"/>
            <w:vAlign w:val="center"/>
          </w:tcPr>
          <w:p>
            <w:pPr>
              <w:pStyle w:val="20"/>
              <w:jc w:val="center"/>
              <w:rPr>
                <w:rFonts w:ascii="宋体" w:hAnsi="宋体" w:cs="宋体"/>
                <w:b/>
                <w:color w:val="auto"/>
                <w:kern w:val="2"/>
              </w:rPr>
            </w:pPr>
            <w:r>
              <w:rPr>
                <w:rFonts w:hint="eastAsia" w:ascii="宋体" w:hAnsi="宋体" w:cs="宋体"/>
                <w:b/>
                <w:color w:val="auto"/>
                <w:kern w:val="2"/>
              </w:rPr>
              <w:t>交易对手信用水平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4514" w:type="dxa"/>
            <w:vMerge w:val="continue"/>
            <w:vAlign w:val="center"/>
          </w:tcPr>
          <w:p>
            <w:pPr>
              <w:pStyle w:val="21"/>
              <w:jc w:val="center"/>
              <w:rPr>
                <w:rFonts w:ascii="宋体" w:hAnsi="宋体" w:cs="宋体"/>
                <w:b/>
                <w:kern w:val="2"/>
              </w:rPr>
            </w:pPr>
          </w:p>
        </w:tc>
        <w:tc>
          <w:tcPr>
            <w:tcW w:w="1429" w:type="dxa"/>
            <w:vAlign w:val="center"/>
          </w:tcPr>
          <w:p>
            <w:pPr>
              <w:pStyle w:val="20"/>
              <w:jc w:val="center"/>
              <w:rPr>
                <w:rFonts w:ascii="宋体" w:hAnsi="宋体" w:cs="宋体"/>
                <w:b/>
                <w:color w:val="auto"/>
                <w:kern w:val="2"/>
              </w:rPr>
            </w:pPr>
            <w:r>
              <w:rPr>
                <w:rFonts w:hint="eastAsia" w:ascii="宋体" w:hAnsi="宋体" w:cs="宋体"/>
                <w:b/>
              </w:rPr>
              <w:t>投资级别</w:t>
            </w:r>
          </w:p>
        </w:tc>
        <w:tc>
          <w:tcPr>
            <w:tcW w:w="1421" w:type="dxa"/>
            <w:vAlign w:val="center"/>
          </w:tcPr>
          <w:p>
            <w:pPr>
              <w:pStyle w:val="20"/>
              <w:jc w:val="center"/>
              <w:rPr>
                <w:rFonts w:ascii="宋体" w:hAnsi="宋体" w:cs="宋体"/>
                <w:b/>
                <w:color w:val="auto"/>
                <w:kern w:val="2"/>
              </w:rPr>
            </w:pPr>
            <w:r>
              <w:rPr>
                <w:rFonts w:hint="eastAsia" w:ascii="宋体" w:hAnsi="宋体" w:cs="宋体"/>
                <w:b/>
              </w:rPr>
              <w:t>高收益级别或未评级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14" w:type="dxa"/>
          </w:tcPr>
          <w:p>
            <w:pPr>
              <w:pStyle w:val="22"/>
              <w:rPr>
                <w:rFonts w:ascii="宋体" w:hAnsi="宋体" w:cs="宋体"/>
                <w:bCs/>
                <w:kern w:val="2"/>
              </w:rPr>
            </w:pPr>
            <w:r>
              <w:rPr>
                <w:rFonts w:hint="eastAsia" w:ascii="宋体" w:hAnsi="宋体" w:cs="宋体"/>
                <w:bCs/>
                <w:kern w:val="2"/>
              </w:rPr>
              <w:t>政府主权，包括中央银行、多边开发银行、我国开发性金融机构和政策性银行</w:t>
            </w:r>
          </w:p>
        </w:tc>
        <w:tc>
          <w:tcPr>
            <w:tcW w:w="1429" w:type="dxa"/>
            <w:vAlign w:val="center"/>
          </w:tcPr>
          <w:p>
            <w:pPr>
              <w:pStyle w:val="20"/>
              <w:jc w:val="center"/>
              <w:rPr>
                <w:rFonts w:ascii="宋体" w:hAnsi="宋体" w:cs="宋体"/>
                <w:bCs/>
                <w:color w:val="auto"/>
                <w:kern w:val="2"/>
              </w:rPr>
            </w:pPr>
            <w:r>
              <w:rPr>
                <w:rFonts w:ascii="宋体" w:hAnsi="宋体" w:cs="宋体"/>
                <w:bCs/>
                <w:color w:val="auto"/>
                <w:kern w:val="2"/>
              </w:rPr>
              <w:t>0.5%</w:t>
            </w:r>
          </w:p>
        </w:tc>
        <w:tc>
          <w:tcPr>
            <w:tcW w:w="1421" w:type="dxa"/>
            <w:vAlign w:val="center"/>
          </w:tcPr>
          <w:p>
            <w:pPr>
              <w:pStyle w:val="20"/>
              <w:jc w:val="center"/>
              <w:rPr>
                <w:rFonts w:ascii="宋体" w:hAnsi="宋体" w:cs="宋体"/>
                <w:bCs/>
                <w:color w:val="auto"/>
                <w:kern w:val="2"/>
              </w:rPr>
            </w:pPr>
            <w:r>
              <w:rPr>
                <w:rFonts w:ascii="宋体" w:hAnsi="宋体" w:cs="宋体"/>
                <w:bCs/>
                <w:color w:val="auto"/>
                <w:kern w:val="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rPr>
                <w:rFonts w:ascii="宋体" w:hAnsi="宋体" w:cs="宋体"/>
                <w:bCs/>
                <w:color w:val="auto"/>
                <w:kern w:val="2"/>
              </w:rPr>
            </w:pPr>
            <w:r>
              <w:rPr>
                <w:rFonts w:hint="eastAsia" w:ascii="宋体" w:hAnsi="宋体" w:cs="宋体"/>
                <w:bCs/>
                <w:color w:val="auto"/>
                <w:kern w:val="2"/>
              </w:rPr>
              <w:t>地方政府、公共部门实体、教育机构</w:t>
            </w:r>
          </w:p>
        </w:tc>
        <w:tc>
          <w:tcPr>
            <w:tcW w:w="1429" w:type="dxa"/>
            <w:vAlign w:val="center"/>
          </w:tcPr>
          <w:p>
            <w:pPr>
              <w:pStyle w:val="20"/>
              <w:jc w:val="center"/>
              <w:rPr>
                <w:rFonts w:ascii="宋体" w:hAnsi="宋体" w:cs="宋体"/>
                <w:bCs/>
                <w:color w:val="auto"/>
                <w:kern w:val="2"/>
              </w:rPr>
            </w:pPr>
            <w:r>
              <w:rPr>
                <w:rFonts w:ascii="宋体" w:hAnsi="宋体" w:cs="宋体"/>
                <w:bCs/>
                <w:color w:val="auto"/>
                <w:kern w:val="2"/>
              </w:rPr>
              <w:t>1.0%</w:t>
            </w:r>
          </w:p>
        </w:tc>
        <w:tc>
          <w:tcPr>
            <w:tcW w:w="1421" w:type="dxa"/>
            <w:vAlign w:val="center"/>
          </w:tcPr>
          <w:p>
            <w:pPr>
              <w:pStyle w:val="20"/>
              <w:jc w:val="center"/>
              <w:rPr>
                <w:rFonts w:ascii="宋体" w:hAnsi="宋体" w:cs="宋体"/>
                <w:bCs/>
                <w:color w:val="auto"/>
                <w:kern w:val="2"/>
              </w:rPr>
            </w:pPr>
            <w:r>
              <w:rPr>
                <w:rFonts w:ascii="宋体" w:hAnsi="宋体" w:cs="宋体"/>
                <w:bCs/>
                <w:color w:val="auto"/>
                <w:kern w:val="2"/>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rPr>
                <w:rFonts w:ascii="宋体" w:hAnsi="宋体" w:cs="宋体"/>
                <w:bCs/>
                <w:color w:val="auto"/>
                <w:kern w:val="2"/>
              </w:rPr>
            </w:pPr>
            <w:r>
              <w:rPr>
                <w:rFonts w:hint="eastAsia" w:ascii="宋体" w:hAnsi="宋体" w:cs="宋体"/>
                <w:bCs/>
                <w:color w:val="auto"/>
                <w:kern w:val="2"/>
              </w:rPr>
              <w:t>金融机构</w:t>
            </w:r>
          </w:p>
        </w:tc>
        <w:tc>
          <w:tcPr>
            <w:tcW w:w="1429" w:type="dxa"/>
            <w:vAlign w:val="center"/>
          </w:tcPr>
          <w:p>
            <w:pPr>
              <w:pStyle w:val="20"/>
              <w:jc w:val="center"/>
              <w:rPr>
                <w:rFonts w:ascii="宋体" w:hAnsi="宋体" w:cs="宋体"/>
                <w:bCs/>
                <w:color w:val="auto"/>
                <w:kern w:val="2"/>
              </w:rPr>
            </w:pPr>
            <w:r>
              <w:rPr>
                <w:rFonts w:ascii="宋体" w:hAnsi="宋体" w:cs="宋体"/>
                <w:bCs/>
                <w:color w:val="auto"/>
                <w:kern w:val="2"/>
              </w:rPr>
              <w:t>5.0%</w:t>
            </w:r>
          </w:p>
        </w:tc>
        <w:tc>
          <w:tcPr>
            <w:tcW w:w="1421" w:type="dxa"/>
            <w:vAlign w:val="center"/>
          </w:tcPr>
          <w:p>
            <w:pPr>
              <w:pStyle w:val="20"/>
              <w:jc w:val="center"/>
              <w:rPr>
                <w:rFonts w:ascii="宋体" w:hAnsi="宋体" w:cs="宋体"/>
                <w:bCs/>
                <w:color w:val="auto"/>
                <w:kern w:val="2"/>
              </w:rPr>
            </w:pPr>
            <w:r>
              <w:rPr>
                <w:rFonts w:ascii="宋体" w:hAnsi="宋体" w:cs="宋体"/>
                <w:bCs/>
                <w:color w:val="auto"/>
                <w:kern w:val="2"/>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rPr>
                <w:rFonts w:ascii="宋体" w:hAnsi="宋体" w:cs="宋体"/>
                <w:bCs/>
                <w:color w:val="auto"/>
                <w:kern w:val="2"/>
              </w:rPr>
            </w:pPr>
            <w:r>
              <w:rPr>
                <w:rFonts w:hint="eastAsia" w:ascii="宋体" w:hAnsi="宋体" w:cs="宋体"/>
                <w:bCs/>
                <w:color w:val="auto"/>
                <w:kern w:val="2"/>
              </w:rPr>
              <w:t>基础资源、能源、工业、农业、制造业、矿产和开采领域</w:t>
            </w:r>
          </w:p>
        </w:tc>
        <w:tc>
          <w:tcPr>
            <w:tcW w:w="1429" w:type="dxa"/>
            <w:vAlign w:val="center"/>
          </w:tcPr>
          <w:p>
            <w:pPr>
              <w:pStyle w:val="20"/>
              <w:jc w:val="center"/>
              <w:rPr>
                <w:rFonts w:ascii="宋体" w:hAnsi="宋体" w:cs="宋体"/>
                <w:bCs/>
                <w:color w:val="auto"/>
                <w:kern w:val="2"/>
              </w:rPr>
            </w:pPr>
            <w:r>
              <w:rPr>
                <w:rFonts w:ascii="宋体" w:hAnsi="宋体" w:cs="宋体"/>
                <w:bCs/>
                <w:color w:val="auto"/>
                <w:kern w:val="2"/>
              </w:rPr>
              <w:t>3.0%</w:t>
            </w:r>
          </w:p>
        </w:tc>
        <w:tc>
          <w:tcPr>
            <w:tcW w:w="1421" w:type="dxa"/>
            <w:vAlign w:val="center"/>
          </w:tcPr>
          <w:p>
            <w:pPr>
              <w:pStyle w:val="20"/>
              <w:jc w:val="center"/>
              <w:rPr>
                <w:rFonts w:ascii="宋体" w:hAnsi="宋体" w:cs="宋体"/>
                <w:bCs/>
                <w:color w:val="auto"/>
                <w:kern w:val="2"/>
              </w:rPr>
            </w:pPr>
            <w:r>
              <w:rPr>
                <w:rFonts w:ascii="宋体" w:hAnsi="宋体" w:cs="宋体"/>
                <w:bCs/>
                <w:color w:val="auto"/>
                <w:kern w:val="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rPr>
                <w:rFonts w:ascii="宋体" w:hAnsi="宋体" w:cs="宋体"/>
                <w:bCs/>
                <w:color w:val="auto"/>
                <w:kern w:val="2"/>
              </w:rPr>
            </w:pPr>
            <w:r>
              <w:rPr>
                <w:rFonts w:hint="eastAsia" w:ascii="宋体" w:hAnsi="宋体" w:cs="宋体"/>
                <w:bCs/>
                <w:color w:val="auto"/>
                <w:kern w:val="2"/>
              </w:rPr>
              <w:t>消费品和服务，交通运输和仓储</w:t>
            </w:r>
            <w:r>
              <w:rPr>
                <w:rFonts w:ascii="宋体" w:hAnsi="宋体" w:cs="宋体"/>
                <w:bCs/>
                <w:color w:val="auto"/>
                <w:kern w:val="2"/>
              </w:rPr>
              <w:t xml:space="preserve">, </w:t>
            </w:r>
            <w:r>
              <w:rPr>
                <w:rFonts w:hint="eastAsia" w:ascii="宋体" w:hAnsi="宋体" w:cs="宋体"/>
                <w:bCs/>
                <w:color w:val="auto"/>
                <w:kern w:val="2"/>
              </w:rPr>
              <w:t>公共管理及其支持性服务</w:t>
            </w:r>
          </w:p>
        </w:tc>
        <w:tc>
          <w:tcPr>
            <w:tcW w:w="1429" w:type="dxa"/>
            <w:vAlign w:val="center"/>
          </w:tcPr>
          <w:p>
            <w:pPr>
              <w:pStyle w:val="20"/>
              <w:jc w:val="center"/>
              <w:rPr>
                <w:rFonts w:ascii="宋体" w:hAnsi="宋体" w:cs="宋体"/>
                <w:bCs/>
                <w:color w:val="auto"/>
                <w:kern w:val="2"/>
              </w:rPr>
            </w:pPr>
            <w:r>
              <w:rPr>
                <w:rFonts w:ascii="宋体" w:hAnsi="宋体" w:cs="宋体"/>
                <w:bCs/>
                <w:color w:val="auto"/>
                <w:kern w:val="2"/>
              </w:rPr>
              <w:t>3.0%</w:t>
            </w:r>
          </w:p>
        </w:tc>
        <w:tc>
          <w:tcPr>
            <w:tcW w:w="1421" w:type="dxa"/>
            <w:vAlign w:val="center"/>
          </w:tcPr>
          <w:p>
            <w:pPr>
              <w:pStyle w:val="20"/>
              <w:jc w:val="center"/>
              <w:rPr>
                <w:rFonts w:ascii="宋体" w:hAnsi="宋体" w:cs="宋体"/>
                <w:bCs/>
                <w:color w:val="auto"/>
                <w:kern w:val="2"/>
              </w:rPr>
            </w:pPr>
            <w:r>
              <w:rPr>
                <w:rFonts w:ascii="宋体" w:hAnsi="宋体" w:cs="宋体"/>
                <w:bCs/>
                <w:color w:val="auto"/>
                <w:kern w:val="2"/>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rPr>
                <w:rFonts w:ascii="宋体" w:hAnsi="宋体" w:cs="宋体"/>
                <w:bCs/>
                <w:color w:val="auto"/>
                <w:kern w:val="2"/>
              </w:rPr>
            </w:pPr>
            <w:r>
              <w:rPr>
                <w:rFonts w:hint="eastAsia" w:ascii="宋体" w:hAnsi="宋体" w:cs="宋体"/>
                <w:bCs/>
                <w:color w:val="auto"/>
                <w:kern w:val="2"/>
              </w:rPr>
              <w:t>信息科技，通信行业</w:t>
            </w:r>
          </w:p>
        </w:tc>
        <w:tc>
          <w:tcPr>
            <w:tcW w:w="1429" w:type="dxa"/>
            <w:vAlign w:val="center"/>
          </w:tcPr>
          <w:p>
            <w:pPr>
              <w:pStyle w:val="20"/>
              <w:jc w:val="center"/>
              <w:rPr>
                <w:rFonts w:ascii="宋体" w:hAnsi="宋体" w:cs="宋体"/>
                <w:bCs/>
                <w:color w:val="auto"/>
                <w:kern w:val="2"/>
              </w:rPr>
            </w:pPr>
            <w:r>
              <w:rPr>
                <w:rFonts w:ascii="宋体" w:hAnsi="宋体" w:cs="宋体"/>
                <w:bCs/>
                <w:color w:val="auto"/>
                <w:kern w:val="2"/>
              </w:rPr>
              <w:t>2.0%</w:t>
            </w:r>
          </w:p>
        </w:tc>
        <w:tc>
          <w:tcPr>
            <w:tcW w:w="1421" w:type="dxa"/>
            <w:vAlign w:val="center"/>
          </w:tcPr>
          <w:p>
            <w:pPr>
              <w:pStyle w:val="20"/>
              <w:jc w:val="center"/>
              <w:rPr>
                <w:rFonts w:ascii="宋体" w:hAnsi="宋体" w:cs="宋体"/>
                <w:bCs/>
                <w:color w:val="auto"/>
                <w:kern w:val="2"/>
              </w:rPr>
            </w:pPr>
            <w:r>
              <w:rPr>
                <w:rFonts w:ascii="宋体" w:hAnsi="宋体" w:cs="宋体"/>
                <w:bCs/>
                <w:color w:val="auto"/>
                <w:kern w:val="2"/>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rPr>
                <w:rFonts w:ascii="宋体" w:hAnsi="宋体" w:cs="宋体"/>
                <w:bCs/>
                <w:color w:val="auto"/>
                <w:kern w:val="2"/>
              </w:rPr>
            </w:pPr>
            <w:r>
              <w:rPr>
                <w:rFonts w:hint="eastAsia" w:ascii="宋体" w:hAnsi="宋体" w:cs="宋体"/>
                <w:bCs/>
                <w:color w:val="auto"/>
                <w:kern w:val="2"/>
              </w:rPr>
              <w:t>健康医疗，公共服务，专业技术领域</w:t>
            </w:r>
          </w:p>
        </w:tc>
        <w:tc>
          <w:tcPr>
            <w:tcW w:w="1429" w:type="dxa"/>
            <w:vAlign w:val="center"/>
          </w:tcPr>
          <w:p>
            <w:pPr>
              <w:pStyle w:val="20"/>
              <w:jc w:val="center"/>
              <w:rPr>
                <w:rFonts w:ascii="宋体" w:hAnsi="宋体" w:cs="宋体"/>
                <w:bCs/>
                <w:color w:val="auto"/>
                <w:kern w:val="2"/>
              </w:rPr>
            </w:pPr>
            <w:r>
              <w:rPr>
                <w:rFonts w:ascii="宋体" w:hAnsi="宋体" w:cs="宋体"/>
                <w:bCs/>
                <w:color w:val="auto"/>
                <w:kern w:val="2"/>
              </w:rPr>
              <w:t>1.5%</w:t>
            </w:r>
          </w:p>
        </w:tc>
        <w:tc>
          <w:tcPr>
            <w:tcW w:w="1421" w:type="dxa"/>
            <w:vAlign w:val="center"/>
          </w:tcPr>
          <w:p>
            <w:pPr>
              <w:pStyle w:val="20"/>
              <w:jc w:val="center"/>
              <w:rPr>
                <w:rFonts w:ascii="宋体" w:hAnsi="宋体" w:cs="宋体"/>
                <w:bCs/>
                <w:color w:val="auto"/>
                <w:kern w:val="2"/>
              </w:rPr>
            </w:pPr>
            <w:r>
              <w:rPr>
                <w:rFonts w:ascii="宋体" w:hAnsi="宋体" w:cs="宋体"/>
                <w:bCs/>
                <w:color w:val="auto"/>
                <w:kern w:val="2"/>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rPr>
                <w:rFonts w:ascii="宋体" w:hAnsi="宋体" w:cs="宋体"/>
                <w:bCs/>
                <w:color w:val="auto"/>
                <w:kern w:val="2"/>
              </w:rPr>
            </w:pPr>
            <w:r>
              <w:rPr>
                <w:rFonts w:hint="eastAsia" w:ascii="宋体" w:hAnsi="宋体" w:cs="宋体"/>
                <w:bCs/>
                <w:color w:val="auto"/>
                <w:kern w:val="2"/>
              </w:rPr>
              <w:t>其他</w:t>
            </w:r>
          </w:p>
        </w:tc>
        <w:tc>
          <w:tcPr>
            <w:tcW w:w="1429" w:type="dxa"/>
            <w:vAlign w:val="center"/>
          </w:tcPr>
          <w:p>
            <w:pPr>
              <w:pStyle w:val="20"/>
              <w:jc w:val="center"/>
              <w:rPr>
                <w:rFonts w:ascii="宋体" w:hAnsi="宋体" w:cs="宋体"/>
                <w:bCs/>
                <w:color w:val="auto"/>
                <w:kern w:val="2"/>
              </w:rPr>
            </w:pPr>
            <w:r>
              <w:rPr>
                <w:rFonts w:ascii="宋体" w:hAnsi="宋体" w:cs="宋体"/>
                <w:bCs/>
                <w:color w:val="auto"/>
                <w:kern w:val="2"/>
              </w:rPr>
              <w:t>5.0%</w:t>
            </w:r>
          </w:p>
        </w:tc>
        <w:tc>
          <w:tcPr>
            <w:tcW w:w="1421" w:type="dxa"/>
            <w:vAlign w:val="center"/>
          </w:tcPr>
          <w:p>
            <w:pPr>
              <w:pStyle w:val="20"/>
              <w:jc w:val="center"/>
              <w:rPr>
                <w:rFonts w:ascii="宋体" w:hAnsi="宋体" w:cs="宋体"/>
                <w:bCs/>
                <w:color w:val="auto"/>
                <w:kern w:val="2"/>
              </w:rPr>
            </w:pPr>
            <w:r>
              <w:rPr>
                <w:rFonts w:ascii="宋体" w:hAnsi="宋体" w:cs="宋体"/>
                <w:bCs/>
                <w:color w:val="auto"/>
                <w:kern w:val="2"/>
              </w:rPr>
              <w:t>12.0%</w:t>
            </w:r>
          </w:p>
        </w:tc>
      </w:tr>
    </w:tbl>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对于经国家金融监督管理总局或其派出机构验收通过实施信用风险内部评级法的商业银行，若无法取得交易对手的合格外部评级，可将内部评级映射到外部评级。</w:t>
      </w:r>
      <w:r>
        <w:rPr>
          <w:rFonts w:hint="eastAsia" w:ascii="仿宋_GB2312" w:eastAsia="仿宋_GB2312"/>
          <w:sz w:val="30"/>
          <w:szCs w:val="30"/>
        </w:rPr>
        <w:t>商业银行应制定清晰的评级映射规则，至少每年检验一次映射规则的合理性，并留档备查。</w:t>
      </w:r>
    </w:p>
    <w:p>
      <w:pPr>
        <w:pStyle w:val="3"/>
      </w:pPr>
      <w:r>
        <w:rPr>
          <w:rFonts w:hint="eastAsia"/>
        </w:rPr>
        <w:t>三、信用估值调整风险完整版风险加权资产的计量</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color w:val="auto"/>
          <w:kern w:val="2"/>
          <w:sz w:val="30"/>
          <w:szCs w:val="30"/>
        </w:rPr>
        <w:t>（一）商业银行应采用以下公式计量信用估值调整风险加权资产：</w:t>
      </w:r>
    </w:p>
    <w:p>
      <w:pPr>
        <w:pStyle w:val="20"/>
        <w:ind w:firstLine="600" w:firstLineChars="200"/>
        <w:jc w:val="center"/>
        <w:rPr>
          <w:rFonts w:ascii="仿宋_GB2312" w:hAnsi="Times New Roman" w:eastAsia="仿宋_GB2312" w:cs="Times New Roman"/>
          <w:sz w:val="30"/>
          <w:szCs w:val="30"/>
        </w:rPr>
      </w:pPr>
      <w:r>
        <w:rPr>
          <w:rFonts w:hint="eastAsia" w:ascii="仿宋_GB2312" w:hAnsi="Times New Roman" w:eastAsia="仿宋_GB2312" w:cs="Times New Roman"/>
          <w:position w:val="-14"/>
          <w:sz w:val="30"/>
          <w:szCs w:val="30"/>
        </w:rPr>
        <w:object>
          <v:shape id="_x0000_i1040" o:spt="75" type="#_x0000_t75" style="height:20.65pt;width:214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p>
      <w:pPr>
        <w:pStyle w:val="20"/>
        <w:ind w:firstLine="600" w:firstLineChars="200"/>
        <w:jc w:val="center"/>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18"/>
          <w:sz w:val="30"/>
          <w:szCs w:val="30"/>
        </w:rPr>
        <w:object>
          <v:shape id="_x0000_i1041" o:spt="75" type="#_x0000_t75" style="height:22pt;width:178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eastAsia" w:ascii="仿宋_GB2312" w:hAnsi="Times New Roman" w:eastAsia="仿宋_GB2312" w:cs="Times New Roman"/>
          <w:color w:val="auto"/>
          <w:kern w:val="2"/>
          <w:sz w:val="30"/>
          <w:szCs w:val="30"/>
        </w:rPr>
        <w:t xml:space="preserve"> </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其中：</w:t>
      </w:r>
      <w:r>
        <w:rPr>
          <w:rFonts w:hint="eastAsia" w:ascii="仿宋_GB2312" w:eastAsia="仿宋_GB2312"/>
          <w:position w:val="-12"/>
          <w:sz w:val="30"/>
          <w:szCs w:val="30"/>
        </w:rPr>
        <w:object>
          <v:shape id="_x0000_i1042" o:spt="75" type="#_x0000_t75" style="height:18.65pt;width:38.6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hint="eastAsia" w:ascii="仿宋_GB2312" w:eastAsia="仿宋_GB2312"/>
          <w:sz w:val="30"/>
          <w:szCs w:val="30"/>
        </w:rPr>
        <w:t>为简化版风险资本要求，计算方式详见本附件第二部分简化版风险加权资产的计量。</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（二）认可合格对冲的部分(</w:t>
      </w:r>
      <w:r>
        <w:rPr>
          <w:rFonts w:hint="eastAsia" w:ascii="仿宋_GB2312" w:eastAsia="仿宋_GB2312"/>
          <w:position w:val="-18"/>
          <w:sz w:val="30"/>
          <w:szCs w:val="30"/>
        </w:rPr>
        <w:object>
          <v:shape id="_x0000_i1043" o:spt="75" type="#_x0000_t75" style="height:22pt;width:45.3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ascii="仿宋_GB2312" w:eastAsia="仿宋_GB2312"/>
          <w:sz w:val="30"/>
          <w:szCs w:val="30"/>
        </w:rPr>
        <w:t>)计算公式如下：</w:t>
      </w:r>
    </w:p>
    <w:p>
      <w:pPr>
        <w:jc w:val="left"/>
        <w:rPr>
          <w:rFonts w:ascii="仿宋_GB2312" w:eastAsia="仿宋_GB2312"/>
          <w:position w:val="-32"/>
          <w:sz w:val="30"/>
          <w:szCs w:val="30"/>
        </w:rPr>
      </w:pPr>
      <w:r>
        <w:rPr>
          <w:rFonts w:hint="eastAsia" w:ascii="仿宋_GB2312" w:eastAsia="仿宋_GB2312"/>
          <w:position w:val="-32"/>
          <w:sz w:val="30"/>
          <w:szCs w:val="30"/>
        </w:rPr>
        <w:object>
          <v:shape id="_x0000_i1044" o:spt="75" type="#_x0000_t75" style="height:42pt;width:409.3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p>
    <w:p>
      <w:pPr>
        <w:spacing w:line="480" w:lineRule="exact"/>
        <w:ind w:firstLine="600" w:firstLineChars="200"/>
        <w:jc w:val="left"/>
        <w:rPr>
          <w:rFonts w:ascii="仿宋_GB2312" w:eastAsia="仿宋_GB2312"/>
          <w:sz w:val="30"/>
          <w:szCs w:val="30"/>
        </w:rPr>
      </w:pPr>
      <w:r>
        <w:rPr>
          <w:rFonts w:hint="eastAsia" w:ascii="仿宋_GB2312" w:eastAsia="仿宋_GB2312"/>
          <w:sz w:val="30"/>
          <w:szCs w:val="30"/>
        </w:rPr>
        <w:t>其中：</w:t>
      </w:r>
      <w:r>
        <w:rPr>
          <w:rFonts w:hint="eastAsia" w:ascii="仿宋_GB2312" w:eastAsia="仿宋_GB2312"/>
          <w:position w:val="-12"/>
          <w:sz w:val="30"/>
          <w:szCs w:val="30"/>
        </w:rPr>
        <w:object>
          <v:shape id="_x0000_i1045" o:spt="75" type="#_x0000_t75" style="height:19.35pt;width:4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ascii="仿宋_GB2312" w:eastAsia="仿宋_GB2312"/>
          <w:sz w:val="30"/>
          <w:szCs w:val="30"/>
        </w:rPr>
        <w:t>是单独考虑交易对手c的信用估值调整风险资本要求，公式详见简化版资本要求的计量。</w:t>
      </w:r>
    </w:p>
    <w:p>
      <w:pPr>
        <w:pStyle w:val="20"/>
        <w:spacing w:line="480" w:lineRule="exact"/>
        <w:ind w:firstLine="600" w:firstLineChars="200"/>
        <w:jc w:val="both"/>
        <w:rPr>
          <w:rFonts w:ascii="仿宋_GB2312" w:hAnsi="Times New Roman" w:eastAsia="仿宋_GB2312" w:cs="Times New Roman"/>
          <w:color w:val="auto"/>
          <w:kern w:val="2"/>
          <w:sz w:val="30"/>
          <w:szCs w:val="30"/>
        </w:rPr>
      </w:pPr>
      <w:r>
        <w:rPr>
          <w:rFonts w:hint="eastAsia" w:ascii="仿宋_GB2312" w:hAnsi="Times New Roman" w:eastAsia="仿宋_GB2312" w:cs="Times New Roman"/>
          <w:position w:val="-12"/>
          <w:sz w:val="30"/>
          <w:szCs w:val="30"/>
        </w:rPr>
        <w:object>
          <v:shape id="_x0000_i1046" o:spt="75" type="#_x0000_t75" style="height:16pt;width:15.3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ascii="仿宋_GB2312" w:hAnsi="Times New Roman" w:eastAsia="仿宋_GB2312" w:cs="Times New Roman"/>
          <w:color w:val="auto"/>
          <w:kern w:val="2"/>
          <w:sz w:val="30"/>
          <w:szCs w:val="30"/>
        </w:rPr>
        <w:t>=0.5。</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（三）</w:t>
      </w:r>
      <w:r>
        <w:rPr>
          <w:rFonts w:hint="eastAsia" w:ascii="仿宋_GB2312" w:eastAsia="仿宋_GB2312"/>
          <w:position w:val="-12"/>
          <w:sz w:val="30"/>
          <w:szCs w:val="30"/>
        </w:rPr>
        <w:object>
          <v:shape id="_x0000_i1047" o:spt="75" type="#_x0000_t75" style="height:19.35pt;width:36.6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ascii="仿宋_GB2312" w:eastAsia="仿宋_GB2312"/>
          <w:sz w:val="30"/>
          <w:szCs w:val="30"/>
        </w:rPr>
        <w:t>表示因商业银行使用信用利差风险的单名对冲工具，导致交易对手c的信用估值调整风险降低，计算公式如下：</w:t>
      </w:r>
    </w:p>
    <w:p>
      <w:pPr>
        <w:jc w:val="center"/>
        <w:rPr>
          <w:rFonts w:ascii="仿宋_GB2312" w:eastAsia="仿宋_GB2312"/>
          <w:sz w:val="30"/>
          <w:szCs w:val="30"/>
        </w:rPr>
      </w:pPr>
      <w:r>
        <w:rPr>
          <w:rFonts w:hint="eastAsia" w:ascii="仿宋_GB2312" w:eastAsia="仿宋_GB2312"/>
          <w:position w:val="-28"/>
          <w:sz w:val="30"/>
          <w:szCs w:val="30"/>
        </w:rPr>
        <w:object>
          <v:shape id="_x0000_i1048" o:spt="75" type="#_x0000_t75" style="height:26.65pt;width:196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其中：</w:t>
      </w:r>
    </w:p>
    <w:p>
      <w:pPr>
        <w:ind w:firstLine="600" w:firstLineChars="200"/>
        <w:rPr>
          <w:rFonts w:ascii="仿宋_GB2312" w:eastAsia="仿宋_GB2312"/>
          <w:sz w:val="30"/>
          <w:szCs w:val="30"/>
        </w:rPr>
      </w:pPr>
      <w:r>
        <w:rPr>
          <w:rFonts w:hint="eastAsia" w:ascii="仿宋_GB2312" w:eastAsia="仿宋_GB2312"/>
          <w:sz w:val="30"/>
          <w:szCs w:val="30"/>
        </w:rPr>
        <w:object>
          <v:shape id="_x0000_i1049" o:spt="75" type="#_x0000_t75" style="height:20pt;width:22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hint="eastAsia" w:ascii="仿宋_GB2312" w:eastAsia="仿宋_GB2312"/>
          <w:sz w:val="30"/>
          <w:szCs w:val="30"/>
        </w:rPr>
        <w:t>表示交易对手c的信用利差与单名信用违约互换套期工具h的信用利差之间的相关系数，详见表2。</w:t>
      </w:r>
    </w:p>
    <w:p>
      <w:pPr>
        <w:ind w:firstLine="600" w:firstLineChars="200"/>
        <w:rPr>
          <w:rFonts w:ascii="仿宋_GB2312" w:eastAsia="仿宋_GB2312"/>
          <w:sz w:val="30"/>
          <w:szCs w:val="30"/>
        </w:rPr>
      </w:pPr>
      <w:r>
        <w:rPr>
          <w:rFonts w:hint="eastAsia" w:ascii="仿宋_GB2312" w:eastAsia="仿宋_GB2312"/>
          <w:sz w:val="30"/>
          <w:szCs w:val="30"/>
        </w:rPr>
        <w:object>
          <v:shape id="_x0000_i1050" o:spt="75" type="#_x0000_t75" style="height:23.35pt;width:34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hint="eastAsia" w:ascii="仿宋_GB2312" w:eastAsia="仿宋_GB2312"/>
          <w:sz w:val="30"/>
          <w:szCs w:val="30"/>
        </w:rPr>
        <w:t>是单名信用违约互换套期工具h的剩余期限。</w:t>
      </w:r>
    </w:p>
    <w:p>
      <w:pPr>
        <w:ind w:firstLine="600" w:firstLineChars="200"/>
        <w:rPr>
          <w:rFonts w:ascii="仿宋_GB2312" w:eastAsia="仿宋_GB2312"/>
          <w:sz w:val="30"/>
          <w:szCs w:val="30"/>
        </w:rPr>
      </w:pPr>
      <w:r>
        <w:rPr>
          <w:rFonts w:hint="eastAsia" w:ascii="仿宋_GB2312" w:eastAsia="仿宋_GB2312"/>
          <w:sz w:val="30"/>
          <w:szCs w:val="30"/>
        </w:rPr>
        <w:object>
          <v:shape id="_x0000_i1051" o:spt="75" type="#_x0000_t75" style="height:23.35pt;width:28.65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hint="eastAsia" w:ascii="仿宋_GB2312" w:eastAsia="仿宋_GB2312"/>
          <w:sz w:val="30"/>
          <w:szCs w:val="30"/>
        </w:rPr>
        <w:t>是单名信用违约互换套期工具h的名义本金。对于单名或有信用违约互换, 名义金额根据参考资产组合或工具的当前市场价值确定。</w:t>
      </w:r>
    </w:p>
    <w:p>
      <w:pPr>
        <w:ind w:firstLine="600" w:firstLineChars="200"/>
        <w:rPr>
          <w:rFonts w:ascii="仿宋_GB2312" w:eastAsia="仿宋_GB2312"/>
          <w:sz w:val="30"/>
          <w:szCs w:val="30"/>
        </w:rPr>
      </w:pPr>
      <w:r>
        <w:rPr>
          <w:rFonts w:hint="eastAsia" w:ascii="仿宋_GB2312" w:eastAsia="仿宋_GB2312"/>
          <w:sz w:val="30"/>
          <w:szCs w:val="30"/>
        </w:rPr>
        <w:object>
          <v:shape id="_x0000_i1052" o:spt="75" type="#_x0000_t75" style="height:23.35pt;width:41.35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hint="eastAsia" w:ascii="仿宋_GB2312" w:eastAsia="仿宋_GB2312"/>
          <w:sz w:val="30"/>
          <w:szCs w:val="30"/>
        </w:rPr>
        <w:t>是监管折现因子, 公式为</w:t>
      </w:r>
      <w:r>
        <w:rPr>
          <w:rFonts w:hint="eastAsia" w:ascii="仿宋_GB2312" w:eastAsia="仿宋_GB2312"/>
          <w:position w:val="-30"/>
          <w:sz w:val="30"/>
          <w:szCs w:val="30"/>
        </w:rPr>
        <w:object>
          <v:shape id="_x0000_i1053" o:spt="75" type="#_x0000_t75" style="height:37.35pt;width:58.6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hint="eastAsia" w:ascii="仿宋_GB2312" w:eastAsia="仿宋_GB2312"/>
          <w:sz w:val="30"/>
          <w:szCs w:val="30"/>
        </w:rPr>
        <w:t xml:space="preserve">。 </w:t>
      </w:r>
    </w:p>
    <w:p>
      <w:pPr>
        <w:ind w:firstLine="600" w:firstLineChars="200"/>
        <w:rPr>
          <w:rFonts w:ascii="仿宋_GB2312" w:eastAsia="仿宋_GB2312"/>
          <w:sz w:val="30"/>
          <w:szCs w:val="30"/>
        </w:rPr>
      </w:pPr>
      <w:r>
        <w:rPr>
          <w:rFonts w:hint="eastAsia" w:ascii="仿宋_GB2312" w:eastAsia="仿宋_GB2312"/>
          <w:position w:val="-16"/>
          <w:sz w:val="30"/>
          <w:szCs w:val="30"/>
        </w:rPr>
        <w:object>
          <v:shape id="_x0000_i1054" o:spt="75" type="#_x0000_t75" style="height:20.65pt;width:33.35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hint="eastAsia" w:ascii="仿宋_GB2312" w:eastAsia="仿宋_GB2312"/>
          <w:sz w:val="30"/>
          <w:szCs w:val="30"/>
        </w:rPr>
        <w:t>是单名信用违约互换套期工具h的监管风险权重，基于交易对手c所在行业和信用水平确定，详见表1。</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交易对手与单名信用违约互换套期工具的信用利差相关系数如下表：</w:t>
      </w:r>
    </w:p>
    <w:p>
      <w:pPr>
        <w:spacing w:line="480" w:lineRule="exact"/>
        <w:jc w:val="center"/>
        <w:rPr>
          <w:rFonts w:eastAsia="楷体_GB2312"/>
          <w:b/>
          <w:sz w:val="28"/>
          <w:szCs w:val="28"/>
        </w:rPr>
      </w:pPr>
      <w:r>
        <w:rPr>
          <w:rFonts w:hint="eastAsia" w:ascii="楷体_GB2312" w:eastAsia="楷体_GB2312"/>
          <w:b/>
          <w:sz w:val="28"/>
          <w:szCs w:val="28"/>
        </w:rPr>
        <w:t xml:space="preserve">表2 </w:t>
      </w:r>
      <w:r>
        <w:rPr>
          <w:rFonts w:eastAsia="楷体_GB2312"/>
          <w:b/>
          <w:sz w:val="28"/>
          <w:szCs w:val="28"/>
        </w:rPr>
        <w:t>交易对手与单名信用违约互换套期工具的信用利差相关系数</w:t>
      </w:r>
    </w:p>
    <w:tbl>
      <w:tblPr>
        <w:tblStyle w:val="14"/>
        <w:tblW w:w="64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14"/>
        <w:gridCol w:w="1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514" w:type="dxa"/>
            <w:vAlign w:val="center"/>
          </w:tcPr>
          <w:p>
            <w:pPr>
              <w:pStyle w:val="22"/>
              <w:jc w:val="center"/>
              <w:rPr>
                <w:rFonts w:ascii="宋体" w:hAnsi="宋体" w:cs="Times New Roman"/>
                <w:b/>
                <w:kern w:val="2"/>
              </w:rPr>
            </w:pPr>
            <w:r>
              <w:rPr>
                <w:rFonts w:ascii="宋体" w:hAnsi="宋体" w:cs="Times New Roman"/>
                <w:b/>
                <w:kern w:val="2"/>
              </w:rPr>
              <w:t>单名信用违约互换套期工具</w:t>
            </w:r>
          </w:p>
        </w:tc>
        <w:tc>
          <w:tcPr>
            <w:tcW w:w="1921" w:type="dxa"/>
            <w:vAlign w:val="center"/>
          </w:tcPr>
          <w:p>
            <w:pPr>
              <w:pStyle w:val="20"/>
              <w:jc w:val="center"/>
              <w:rPr>
                <w:rFonts w:ascii="宋体" w:hAnsi="宋体" w:cs="Times New Roman"/>
                <w:b/>
                <w:color w:val="auto"/>
                <w:kern w:val="2"/>
              </w:rPr>
            </w:pPr>
            <w:r>
              <w:rPr>
                <w:rFonts w:ascii="宋体" w:hAnsi="宋体" w:cs="Times New Roman"/>
                <w:b/>
                <w:color w:val="auto"/>
                <w:kern w:val="2"/>
              </w:rPr>
              <w:t>相关系数</w:t>
            </w:r>
            <w:r>
              <w:rPr>
                <w:rFonts w:ascii="宋体" w:hAnsi="宋体" w:cs="Times New Roman"/>
                <w:position w:val="-16"/>
              </w:rPr>
              <w:object>
                <v:shape id="_x0000_i1055" o:spt="75" type="#_x0000_t75" style="height:20pt;width:22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ascii="宋体" w:hAnsi="宋体" w:cs="Times New Roman"/>
                <w:b/>
                <w:color w:val="auto"/>
                <w:vertAlign w:val="subscript"/>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jc w:val="both"/>
              <w:rPr>
                <w:rFonts w:ascii="宋体" w:hAnsi="宋体" w:cs="Times New Roman"/>
                <w:bCs/>
                <w:color w:val="auto"/>
                <w:kern w:val="2"/>
              </w:rPr>
            </w:pPr>
            <w:r>
              <w:rPr>
                <w:rFonts w:ascii="宋体" w:hAnsi="宋体" w:cs="Times New Roman"/>
                <w:bCs/>
                <w:color w:val="auto"/>
                <w:kern w:val="2"/>
              </w:rPr>
              <w:t>直接基于相同交易对手</w:t>
            </w:r>
          </w:p>
        </w:tc>
        <w:tc>
          <w:tcPr>
            <w:tcW w:w="1921" w:type="dxa"/>
          </w:tcPr>
          <w:p>
            <w:pPr>
              <w:pStyle w:val="20"/>
              <w:jc w:val="center"/>
              <w:rPr>
                <w:rFonts w:ascii="宋体" w:hAnsi="宋体" w:cs="Times New Roman"/>
                <w:bCs/>
                <w:color w:val="auto"/>
                <w:kern w:val="2"/>
              </w:rPr>
            </w:pPr>
            <w:r>
              <w:rPr>
                <w:rFonts w:ascii="宋体" w:hAnsi="宋体" w:cs="Times New Roman"/>
                <w:bCs/>
                <w:color w:val="auto"/>
                <w:kern w:val="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jc w:val="both"/>
              <w:rPr>
                <w:rFonts w:ascii="宋体" w:hAnsi="宋体" w:cs="Times New Roman"/>
                <w:bCs/>
                <w:color w:val="auto"/>
                <w:kern w:val="2"/>
              </w:rPr>
            </w:pPr>
            <w:r>
              <w:rPr>
                <w:rFonts w:ascii="宋体" w:hAnsi="宋体" w:cs="Times New Roman"/>
                <w:bCs/>
                <w:color w:val="auto"/>
                <w:kern w:val="2"/>
              </w:rPr>
              <w:t>与交易对手具有法律相关性</w:t>
            </w:r>
          </w:p>
        </w:tc>
        <w:tc>
          <w:tcPr>
            <w:tcW w:w="1921" w:type="dxa"/>
          </w:tcPr>
          <w:p>
            <w:pPr>
              <w:pStyle w:val="20"/>
              <w:jc w:val="center"/>
              <w:rPr>
                <w:rFonts w:ascii="宋体" w:hAnsi="宋体" w:cs="Times New Roman"/>
                <w:bCs/>
                <w:color w:val="auto"/>
                <w:kern w:val="2"/>
              </w:rPr>
            </w:pPr>
            <w:r>
              <w:rPr>
                <w:rFonts w:ascii="宋体" w:hAnsi="宋体" w:cs="Times New Roman"/>
                <w:bCs/>
                <w:color w:val="auto"/>
                <w:kern w:val="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jc w:val="center"/>
        </w:trPr>
        <w:tc>
          <w:tcPr>
            <w:tcW w:w="4514" w:type="dxa"/>
          </w:tcPr>
          <w:p>
            <w:pPr>
              <w:pStyle w:val="20"/>
              <w:jc w:val="both"/>
              <w:rPr>
                <w:rFonts w:ascii="宋体" w:hAnsi="宋体" w:cs="Times New Roman"/>
                <w:bCs/>
                <w:color w:val="auto"/>
                <w:kern w:val="2"/>
              </w:rPr>
            </w:pPr>
            <w:r>
              <w:rPr>
                <w:rFonts w:ascii="宋体" w:hAnsi="宋体" w:cs="Times New Roman"/>
                <w:bCs/>
                <w:color w:val="auto"/>
                <w:kern w:val="2"/>
              </w:rPr>
              <w:t>与交易对手同在一个行业或地区</w:t>
            </w:r>
          </w:p>
        </w:tc>
        <w:tc>
          <w:tcPr>
            <w:tcW w:w="1921" w:type="dxa"/>
          </w:tcPr>
          <w:p>
            <w:pPr>
              <w:pStyle w:val="20"/>
              <w:jc w:val="center"/>
              <w:rPr>
                <w:rFonts w:ascii="宋体" w:hAnsi="宋体" w:cs="Times New Roman"/>
                <w:bCs/>
                <w:color w:val="auto"/>
                <w:kern w:val="2"/>
              </w:rPr>
            </w:pPr>
            <w:r>
              <w:rPr>
                <w:rFonts w:ascii="宋体" w:hAnsi="宋体" w:cs="Times New Roman"/>
                <w:bCs/>
                <w:color w:val="auto"/>
                <w:kern w:val="2"/>
              </w:rPr>
              <w:t>50%</w:t>
            </w:r>
          </w:p>
        </w:tc>
      </w:tr>
    </w:tbl>
    <w:p>
      <w:pPr>
        <w:spacing w:line="480" w:lineRule="exact"/>
        <w:ind w:firstLine="600" w:firstLineChars="200"/>
        <w:rPr>
          <w:rFonts w:ascii="仿宋_GB2312" w:eastAsia="仿宋_GB2312"/>
          <w:sz w:val="30"/>
          <w:szCs w:val="30"/>
        </w:rPr>
      </w:pPr>
      <w:r>
        <w:rPr>
          <w:rFonts w:hint="eastAsia" w:ascii="仿宋_GB2312" w:eastAsia="仿宋_GB2312"/>
          <w:sz w:val="30"/>
          <w:szCs w:val="30"/>
        </w:rPr>
        <w:t>（四）IH表示银行使用指数对冲工具，导致交易对手整体层面的信用估值调整风险降低，计算公式如下：</w:t>
      </w:r>
    </w:p>
    <w:p>
      <w:pPr>
        <w:spacing w:before="156" w:beforeLines="50"/>
        <w:jc w:val="center"/>
        <w:rPr>
          <w:rFonts w:ascii="仿宋_GB2312" w:eastAsia="仿宋_GB2312"/>
          <w:sz w:val="30"/>
          <w:szCs w:val="30"/>
        </w:rPr>
      </w:pPr>
      <w:r>
        <w:rPr>
          <w:rFonts w:hint="eastAsia" w:ascii="仿宋_GB2312" w:eastAsia="仿宋_GB2312"/>
          <w:position w:val="-28"/>
          <w:sz w:val="30"/>
          <w:szCs w:val="30"/>
        </w:rPr>
        <w:object>
          <v:shape id="_x0000_i1056" o:spt="75" type="#_x0000_t75" style="height:26.65pt;width:159.3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其中：</w:t>
      </w:r>
    </w:p>
    <w:p>
      <w:pPr>
        <w:spacing w:line="480" w:lineRule="exact"/>
        <w:ind w:firstLine="600" w:firstLineChars="200"/>
        <w:rPr>
          <w:rFonts w:ascii="仿宋_GB2312" w:eastAsia="仿宋_GB2312"/>
          <w:sz w:val="30"/>
          <w:szCs w:val="30"/>
        </w:rPr>
      </w:pPr>
      <w:r>
        <w:rPr>
          <w:rFonts w:hint="eastAsia" w:ascii="仿宋_GB2312" w:eastAsia="仿宋_GB2312"/>
          <w:position w:val="-14"/>
          <w:sz w:val="30"/>
          <w:szCs w:val="30"/>
        </w:rPr>
        <w:object>
          <v:shape id="_x0000_i1057" o:spt="75" type="#_x0000_t75" style="height:23.35pt;width:34.6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hint="eastAsia" w:ascii="仿宋_GB2312" w:eastAsia="仿宋_GB2312"/>
          <w:sz w:val="30"/>
          <w:szCs w:val="30"/>
        </w:rPr>
        <w:t>是指数信用违约互换i的剩余期限。</w:t>
      </w:r>
    </w:p>
    <w:p>
      <w:pPr>
        <w:spacing w:line="480" w:lineRule="exact"/>
        <w:ind w:firstLine="600" w:firstLineChars="200"/>
        <w:rPr>
          <w:rFonts w:ascii="仿宋_GB2312" w:eastAsia="仿宋_GB2312"/>
          <w:sz w:val="30"/>
          <w:szCs w:val="30"/>
        </w:rPr>
      </w:pPr>
      <w:r>
        <w:rPr>
          <w:rFonts w:hint="eastAsia" w:ascii="仿宋_GB2312" w:eastAsia="仿宋_GB2312"/>
          <w:position w:val="-14"/>
          <w:sz w:val="30"/>
          <w:szCs w:val="30"/>
        </w:rPr>
        <w:object>
          <v:shape id="_x0000_i1058" o:spt="75" type="#_x0000_t75" style="height:23.35pt;width:28.65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hint="eastAsia" w:ascii="仿宋_GB2312" w:eastAsia="仿宋_GB2312"/>
          <w:sz w:val="30"/>
          <w:szCs w:val="30"/>
        </w:rPr>
        <w:t>是指数信用违约互换i 的名义本金。</w:t>
      </w:r>
    </w:p>
    <w:p>
      <w:pPr>
        <w:ind w:firstLine="600" w:firstLineChars="200"/>
        <w:rPr>
          <w:rFonts w:ascii="仿宋_GB2312" w:eastAsia="仿宋_GB2312"/>
          <w:sz w:val="30"/>
          <w:szCs w:val="30"/>
        </w:rPr>
      </w:pPr>
      <w:r>
        <w:rPr>
          <w:rFonts w:hint="eastAsia" w:ascii="仿宋_GB2312" w:eastAsia="仿宋_GB2312"/>
          <w:position w:val="-12"/>
          <w:sz w:val="30"/>
          <w:szCs w:val="30"/>
        </w:rPr>
        <w:object>
          <v:shape id="_x0000_i1059" o:spt="75" type="#_x0000_t75" style="height:19.35pt;width:34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hint="eastAsia" w:ascii="仿宋_GB2312" w:eastAsia="仿宋_GB2312"/>
          <w:sz w:val="30"/>
          <w:szCs w:val="30"/>
        </w:rPr>
        <w:t>是监管折现因子, 公式为</w:t>
      </w:r>
      <w:r>
        <w:rPr>
          <w:rFonts w:hint="eastAsia" w:ascii="仿宋_GB2312" w:eastAsia="仿宋_GB2312"/>
          <w:position w:val="-40"/>
          <w:sz w:val="30"/>
          <w:szCs w:val="30"/>
        </w:rPr>
        <w:object>
          <v:shape id="_x0000_i1060" o:spt="75" type="#_x0000_t75" style="height:42.65pt;width:78.6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hint="eastAsia" w:ascii="仿宋_GB2312" w:eastAsia="仿宋_GB2312"/>
          <w:sz w:val="30"/>
          <w:szCs w:val="30"/>
        </w:rPr>
        <w:t xml:space="preserve"> 。</w:t>
      </w:r>
    </w:p>
    <w:p>
      <w:pPr>
        <w:spacing w:line="480" w:lineRule="exact"/>
        <w:ind w:firstLine="600" w:firstLineChars="200"/>
        <w:rPr>
          <w:rFonts w:ascii="仿宋_GB2312" w:eastAsia="仿宋_GB2312"/>
          <w:sz w:val="30"/>
          <w:szCs w:val="30"/>
        </w:rPr>
      </w:pPr>
      <w:r>
        <w:rPr>
          <w:rFonts w:hint="eastAsia" w:ascii="仿宋_GB2312" w:eastAsia="仿宋_GB2312"/>
          <w:position w:val="-16"/>
          <w:sz w:val="30"/>
          <w:szCs w:val="30"/>
        </w:rPr>
        <w:object>
          <v:shape id="_x0000_i1061" o:spt="75" type="#_x0000_t75" style="height:22pt;width:33.3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76">
            <o:LockedField>false</o:LockedField>
          </o:OLEObject>
        </w:object>
      </w:r>
      <w:r>
        <w:rPr>
          <w:rFonts w:hint="eastAsia" w:ascii="仿宋_GB2312" w:eastAsia="仿宋_GB2312"/>
          <w:sz w:val="30"/>
          <w:szCs w:val="30"/>
        </w:rPr>
        <w:t>是指数信用违约互换i的监管风险权重。对于属于同一行业且信用水平相同的指数，应在表1相应数值上乘以0.7；对于跨行业或跨信用水平等级的指数，应基于表1相应数值并根据指数加权计算后乘以0.7。</w: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（五）</w:t>
      </w:r>
      <w:r>
        <w:rPr>
          <w:rFonts w:hint="eastAsia" w:ascii="仿宋_GB2312" w:eastAsia="仿宋_GB2312"/>
          <w:position w:val="-12"/>
          <w:sz w:val="30"/>
          <w:szCs w:val="30"/>
        </w:rPr>
        <w:object>
          <v:shape id="_x0000_i1062" o:spt="75" type="#_x0000_t75" style="height:18.65pt;width:37.35pt;" o:ole="t" filled="f" o:preferrelative="t" stroked="f" coordsize="21600,21600">
            <v:path/>
            <v:fill on="f" focussize="0,0"/>
            <v:stroke on="f" joinstyle="miter"/>
            <v:imagedata r:id="rId79" o:title=""/>
            <o:lock v:ext="edit" aspectratio="t"/>
            <w10:wrap type="none"/>
            <w10:anchorlock/>
          </v:shape>
          <o:OLEObject Type="Embed" ProgID="Equation.DSMT4" ShapeID="_x0000_i1062" DrawAspect="Content" ObjectID="_1468075762" r:id="rId78">
            <o:LockedField>false</o:LockedField>
          </o:OLEObject>
        </w:object>
      </w:r>
      <w:r>
        <w:rPr>
          <w:rFonts w:hint="eastAsia" w:ascii="仿宋_GB2312" w:eastAsia="仿宋_GB2312"/>
          <w:sz w:val="30"/>
          <w:szCs w:val="30"/>
        </w:rPr>
        <w:t>为表示错位对冲的参数，用于限制非直接对冲对资本要求的降低程度，计算公式如下：</w:t>
      </w:r>
    </w:p>
    <w:p>
      <w:pPr>
        <w:jc w:val="center"/>
        <w:rPr>
          <w:rFonts w:ascii="仿宋_GB2312" w:eastAsia="仿宋_GB2312"/>
          <w:sz w:val="30"/>
          <w:szCs w:val="30"/>
        </w:rPr>
      </w:pPr>
      <w:r>
        <w:rPr>
          <w:rFonts w:hint="eastAsia" w:ascii="仿宋_GB2312" w:eastAsia="仿宋_GB2312"/>
          <w:position w:val="-28"/>
          <w:sz w:val="30"/>
          <w:szCs w:val="30"/>
        </w:rPr>
        <w:object>
          <v:shape id="_x0000_i1063" o:spt="75" type="#_x0000_t75" style="height:30.65pt;width:229.35pt;" o:ole="t" filled="f" o:preferrelative="t" stroked="f" coordsize="21600,21600">
            <v:path/>
            <v:fill on="f" focussize="0,0"/>
            <v:stroke on="f" joinstyle="miter"/>
            <v:imagedata r:id="rId81" o:title=""/>
            <o:lock v:ext="edit" aspectratio="t"/>
            <w10:wrap type="none"/>
            <w10:anchorlock/>
          </v:shape>
          <o:OLEObject Type="Embed" ProgID="Equation.DSMT4" ShapeID="_x0000_i1063" DrawAspect="Content" ObjectID="_1468075763" r:id="rId80">
            <o:LockedField>false</o:LockedField>
          </o:OLEObject>
        </w:object>
      </w:r>
    </w:p>
    <w:p>
      <w:pPr>
        <w:spacing w:line="480" w:lineRule="exact"/>
        <w:ind w:firstLine="600" w:firstLineChars="200"/>
        <w:rPr>
          <w:rFonts w:ascii="仿宋_GB2312" w:eastAsia="仿宋_GB2312"/>
          <w:sz w:val="30"/>
          <w:szCs w:val="30"/>
        </w:rPr>
      </w:pPr>
      <w:r>
        <w:rPr>
          <w:rFonts w:hint="eastAsia" w:ascii="仿宋_GB2312" w:eastAsia="仿宋_GB2312"/>
          <w:sz w:val="30"/>
          <w:szCs w:val="30"/>
        </w:rPr>
        <w:t>其中，系数计算方法与本附件第三部分（三）一致。</w:t>
      </w:r>
    </w:p>
    <w:p>
      <w:pPr>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3985811"/>
    </w:sdtPr>
    <w:sdtEndPr>
      <w:rPr>
        <w:rFonts w:ascii="宋体" w:hAnsi="宋体" w:eastAsia="宋体"/>
        <w:sz w:val="21"/>
        <w:szCs w:val="21"/>
      </w:rPr>
    </w:sdtEndPr>
    <w:sdtContent>
      <w:p>
        <w:pPr>
          <w:pStyle w:val="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5</w:t>
        </w:r>
        <w:r>
          <w:rPr>
            <w:rFonts w:ascii="宋体" w:hAnsi="宋体" w:eastAsia="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ZTUwZDg4OGNlMmFiY2NmMGY3MjY4MWFhMmM1YjIifQ=="/>
  </w:docVars>
  <w:rsids>
    <w:rsidRoot w:val="009830CA"/>
    <w:rsid w:val="00014645"/>
    <w:rsid w:val="0003146D"/>
    <w:rsid w:val="000353AE"/>
    <w:rsid w:val="0004122C"/>
    <w:rsid w:val="00047C86"/>
    <w:rsid w:val="00053399"/>
    <w:rsid w:val="00060041"/>
    <w:rsid w:val="00076564"/>
    <w:rsid w:val="00081B45"/>
    <w:rsid w:val="000A4AFF"/>
    <w:rsid w:val="000B22F5"/>
    <w:rsid w:val="000D027E"/>
    <w:rsid w:val="000D0D5E"/>
    <w:rsid w:val="000D3E6F"/>
    <w:rsid w:val="000E0A09"/>
    <w:rsid w:val="001041FD"/>
    <w:rsid w:val="001348EE"/>
    <w:rsid w:val="00140BB4"/>
    <w:rsid w:val="0016211C"/>
    <w:rsid w:val="00173593"/>
    <w:rsid w:val="0018075E"/>
    <w:rsid w:val="00182C1B"/>
    <w:rsid w:val="001D0979"/>
    <w:rsid w:val="001D1A4F"/>
    <w:rsid w:val="002144FF"/>
    <w:rsid w:val="0022686A"/>
    <w:rsid w:val="00227DA8"/>
    <w:rsid w:val="002474FB"/>
    <w:rsid w:val="0027287D"/>
    <w:rsid w:val="00274692"/>
    <w:rsid w:val="00275F3A"/>
    <w:rsid w:val="002C3831"/>
    <w:rsid w:val="002C6D28"/>
    <w:rsid w:val="003043BF"/>
    <w:rsid w:val="00315E14"/>
    <w:rsid w:val="00332B3A"/>
    <w:rsid w:val="003427F6"/>
    <w:rsid w:val="0036128D"/>
    <w:rsid w:val="0036559D"/>
    <w:rsid w:val="00396C3A"/>
    <w:rsid w:val="003971D5"/>
    <w:rsid w:val="003A1A43"/>
    <w:rsid w:val="003A3A08"/>
    <w:rsid w:val="003A4A89"/>
    <w:rsid w:val="003B06AB"/>
    <w:rsid w:val="003C6E36"/>
    <w:rsid w:val="003D4237"/>
    <w:rsid w:val="003D7A7C"/>
    <w:rsid w:val="003F0A12"/>
    <w:rsid w:val="00425CC4"/>
    <w:rsid w:val="00426ABE"/>
    <w:rsid w:val="00432AD7"/>
    <w:rsid w:val="00433612"/>
    <w:rsid w:val="004661C0"/>
    <w:rsid w:val="004719F1"/>
    <w:rsid w:val="00472529"/>
    <w:rsid w:val="004D0D86"/>
    <w:rsid w:val="004D69C1"/>
    <w:rsid w:val="004D758E"/>
    <w:rsid w:val="00503A13"/>
    <w:rsid w:val="005040FA"/>
    <w:rsid w:val="00534234"/>
    <w:rsid w:val="005348A0"/>
    <w:rsid w:val="0057026A"/>
    <w:rsid w:val="005A1385"/>
    <w:rsid w:val="005A34FC"/>
    <w:rsid w:val="005A4079"/>
    <w:rsid w:val="005C52C8"/>
    <w:rsid w:val="005D7D05"/>
    <w:rsid w:val="005E0D73"/>
    <w:rsid w:val="005E17FC"/>
    <w:rsid w:val="005E5B8E"/>
    <w:rsid w:val="006448DE"/>
    <w:rsid w:val="00666820"/>
    <w:rsid w:val="00672C78"/>
    <w:rsid w:val="006B2F44"/>
    <w:rsid w:val="006C2330"/>
    <w:rsid w:val="006D3463"/>
    <w:rsid w:val="006E60DC"/>
    <w:rsid w:val="006F5E72"/>
    <w:rsid w:val="006F6C54"/>
    <w:rsid w:val="007146A1"/>
    <w:rsid w:val="007252DF"/>
    <w:rsid w:val="00730BFD"/>
    <w:rsid w:val="00732DE6"/>
    <w:rsid w:val="00755AA0"/>
    <w:rsid w:val="00763ED4"/>
    <w:rsid w:val="00790C2D"/>
    <w:rsid w:val="007B2E32"/>
    <w:rsid w:val="00807147"/>
    <w:rsid w:val="00812EBD"/>
    <w:rsid w:val="008203A7"/>
    <w:rsid w:val="00826B82"/>
    <w:rsid w:val="0083512B"/>
    <w:rsid w:val="00840969"/>
    <w:rsid w:val="008458E5"/>
    <w:rsid w:val="00845ACA"/>
    <w:rsid w:val="00861D75"/>
    <w:rsid w:val="00863578"/>
    <w:rsid w:val="00895276"/>
    <w:rsid w:val="008A2452"/>
    <w:rsid w:val="008B47BC"/>
    <w:rsid w:val="008D5BC0"/>
    <w:rsid w:val="009109F1"/>
    <w:rsid w:val="00914995"/>
    <w:rsid w:val="00930BB6"/>
    <w:rsid w:val="00943865"/>
    <w:rsid w:val="00943A8A"/>
    <w:rsid w:val="00945A21"/>
    <w:rsid w:val="00954CD1"/>
    <w:rsid w:val="009830CA"/>
    <w:rsid w:val="00993E19"/>
    <w:rsid w:val="009959A6"/>
    <w:rsid w:val="009B4E43"/>
    <w:rsid w:val="009C4D68"/>
    <w:rsid w:val="009D1394"/>
    <w:rsid w:val="009E0E50"/>
    <w:rsid w:val="009E5B6E"/>
    <w:rsid w:val="00A037C9"/>
    <w:rsid w:val="00A22E07"/>
    <w:rsid w:val="00A261FB"/>
    <w:rsid w:val="00A30EB5"/>
    <w:rsid w:val="00A402D0"/>
    <w:rsid w:val="00A42273"/>
    <w:rsid w:val="00A65AE5"/>
    <w:rsid w:val="00A67DC5"/>
    <w:rsid w:val="00A938E3"/>
    <w:rsid w:val="00AA4C0E"/>
    <w:rsid w:val="00AF7819"/>
    <w:rsid w:val="00B22DAF"/>
    <w:rsid w:val="00B24F38"/>
    <w:rsid w:val="00B479EE"/>
    <w:rsid w:val="00B57106"/>
    <w:rsid w:val="00B674E1"/>
    <w:rsid w:val="00B77318"/>
    <w:rsid w:val="00B808E3"/>
    <w:rsid w:val="00B8480D"/>
    <w:rsid w:val="00B96A48"/>
    <w:rsid w:val="00BA3147"/>
    <w:rsid w:val="00BB0DA0"/>
    <w:rsid w:val="00BC7132"/>
    <w:rsid w:val="00BD3412"/>
    <w:rsid w:val="00BF50ED"/>
    <w:rsid w:val="00C1743E"/>
    <w:rsid w:val="00C22FBF"/>
    <w:rsid w:val="00C5596C"/>
    <w:rsid w:val="00C60564"/>
    <w:rsid w:val="00C63A39"/>
    <w:rsid w:val="00C65AC4"/>
    <w:rsid w:val="00C97EA4"/>
    <w:rsid w:val="00CA0282"/>
    <w:rsid w:val="00CA1B46"/>
    <w:rsid w:val="00CA6A39"/>
    <w:rsid w:val="00CC4F95"/>
    <w:rsid w:val="00D316A4"/>
    <w:rsid w:val="00D350A9"/>
    <w:rsid w:val="00D47E6A"/>
    <w:rsid w:val="00D61D1E"/>
    <w:rsid w:val="00DA0A9F"/>
    <w:rsid w:val="00DA29FD"/>
    <w:rsid w:val="00DA6340"/>
    <w:rsid w:val="00DA69DB"/>
    <w:rsid w:val="00DB2216"/>
    <w:rsid w:val="00DB79DF"/>
    <w:rsid w:val="00DC195B"/>
    <w:rsid w:val="00DC3A1D"/>
    <w:rsid w:val="00DC479A"/>
    <w:rsid w:val="00E14548"/>
    <w:rsid w:val="00E25C26"/>
    <w:rsid w:val="00E42AD6"/>
    <w:rsid w:val="00E52381"/>
    <w:rsid w:val="00E536E8"/>
    <w:rsid w:val="00E6086E"/>
    <w:rsid w:val="00E62FC1"/>
    <w:rsid w:val="00E70A0D"/>
    <w:rsid w:val="00E7206D"/>
    <w:rsid w:val="00EA02B1"/>
    <w:rsid w:val="00ED2B56"/>
    <w:rsid w:val="00EE6C36"/>
    <w:rsid w:val="00F010C3"/>
    <w:rsid w:val="00F12F54"/>
    <w:rsid w:val="00F17E18"/>
    <w:rsid w:val="00F23B46"/>
    <w:rsid w:val="00F468A3"/>
    <w:rsid w:val="00F534D3"/>
    <w:rsid w:val="00F553B6"/>
    <w:rsid w:val="00F55710"/>
    <w:rsid w:val="00F6587B"/>
    <w:rsid w:val="00F67601"/>
    <w:rsid w:val="00FB3692"/>
    <w:rsid w:val="00FC2BC5"/>
    <w:rsid w:val="05110760"/>
    <w:rsid w:val="05912B59"/>
    <w:rsid w:val="06D2502E"/>
    <w:rsid w:val="0C946333"/>
    <w:rsid w:val="1BD93612"/>
    <w:rsid w:val="22534E34"/>
    <w:rsid w:val="2A7E0C02"/>
    <w:rsid w:val="2FDC5226"/>
    <w:rsid w:val="31E76E3E"/>
    <w:rsid w:val="3CDD9A70"/>
    <w:rsid w:val="41C34B55"/>
    <w:rsid w:val="4A16244E"/>
    <w:rsid w:val="4C5E5863"/>
    <w:rsid w:val="4DC66910"/>
    <w:rsid w:val="591C3C6C"/>
    <w:rsid w:val="5B8A756A"/>
    <w:rsid w:val="5BBE41A9"/>
    <w:rsid w:val="5D1D7C63"/>
    <w:rsid w:val="5DF64961"/>
    <w:rsid w:val="60401777"/>
    <w:rsid w:val="6B663041"/>
    <w:rsid w:val="6FECEBAC"/>
    <w:rsid w:val="71A94A05"/>
    <w:rsid w:val="75DA124F"/>
    <w:rsid w:val="77F834E0"/>
    <w:rsid w:val="7AF84EAB"/>
    <w:rsid w:val="7AFD0D15"/>
    <w:rsid w:val="DBFF8F24"/>
    <w:rsid w:val="E697A1D4"/>
    <w:rsid w:val="E7FF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29"/>
    <w:qFormat/>
    <w:uiPriority w:val="9"/>
    <w:pPr>
      <w:outlineLvl w:val="0"/>
    </w:pPr>
    <w:rPr>
      <w:sz w:val="44"/>
    </w:rPr>
  </w:style>
  <w:style w:type="paragraph" w:styleId="3">
    <w:name w:val="heading 2"/>
    <w:basedOn w:val="4"/>
    <w:next w:val="1"/>
    <w:link w:val="28"/>
    <w:qFormat/>
    <w:uiPriority w:val="0"/>
    <w:pPr>
      <w:outlineLvl w:val="1"/>
    </w:pPr>
  </w:style>
  <w:style w:type="paragraph" w:styleId="4">
    <w:name w:val="heading 3"/>
    <w:basedOn w:val="5"/>
    <w:next w:val="1"/>
    <w:link w:val="30"/>
    <w:qFormat/>
    <w:uiPriority w:val="0"/>
    <w:pPr>
      <w:ind w:left="0" w:leftChars="0" w:firstLine="600" w:firstLineChars="200"/>
      <w:jc w:val="left"/>
      <w:outlineLvl w:val="2"/>
    </w:pPr>
    <w:rPr>
      <w:rFonts w:ascii="黑体" w:hAnsi="黑体" w:eastAsia="黑体"/>
      <w:smallCaps/>
      <w:sz w:val="30"/>
      <w:szCs w:val="30"/>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toc 2"/>
    <w:basedOn w:val="1"/>
    <w:next w:val="1"/>
    <w:semiHidden/>
    <w:unhideWhenUsed/>
    <w:qFormat/>
    <w:uiPriority w:val="39"/>
    <w:pPr>
      <w:ind w:left="420" w:leftChars="200"/>
    </w:pPr>
  </w:style>
  <w:style w:type="paragraph" w:styleId="6">
    <w:name w:val="annotation text"/>
    <w:basedOn w:val="1"/>
    <w:link w:val="19"/>
    <w:semiHidden/>
    <w:qFormat/>
    <w:uiPriority w:val="0"/>
    <w:pPr>
      <w:jc w:val="left"/>
    </w:pPr>
  </w:style>
  <w:style w:type="paragraph" w:styleId="7">
    <w:name w:val="Body Text"/>
    <w:basedOn w:val="1"/>
    <w:link w:val="27"/>
    <w:semiHidden/>
    <w:unhideWhenUsed/>
    <w:qFormat/>
    <w:uiPriority w:val="99"/>
    <w:pPr>
      <w:spacing w:after="120"/>
    </w:pPr>
  </w:style>
  <w:style w:type="paragraph" w:styleId="8">
    <w:name w:val="Balloon Text"/>
    <w:basedOn w:val="1"/>
    <w:link w:val="23"/>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semiHidden/>
    <w:unhideWhenUsed/>
    <w:qFormat/>
    <w:uiPriority w:val="39"/>
  </w:style>
  <w:style w:type="paragraph" w:styleId="12">
    <w:name w:val="Title"/>
    <w:basedOn w:val="7"/>
    <w:next w:val="1"/>
    <w:link w:val="26"/>
    <w:qFormat/>
    <w:uiPriority w:val="0"/>
    <w:pPr>
      <w:jc w:val="center"/>
    </w:pPr>
    <w:rPr>
      <w:rFonts w:ascii="仿宋_GB2312" w:hAnsi="仿宋" w:eastAsia="仿宋_GB2312"/>
    </w:rPr>
  </w:style>
  <w:style w:type="paragraph" w:styleId="13">
    <w:name w:val="annotation subject"/>
    <w:basedOn w:val="6"/>
    <w:next w:val="6"/>
    <w:link w:val="24"/>
    <w:unhideWhenUsed/>
    <w:qFormat/>
    <w:uiPriority w:val="99"/>
    <w:rPr>
      <w:b/>
      <w:bCs/>
    </w:rPr>
  </w:style>
  <w:style w:type="character" w:styleId="16">
    <w:name w:val="annotation reference"/>
    <w:basedOn w:val="15"/>
    <w:unhideWhenUsed/>
    <w:qFormat/>
    <w:uiPriority w:val="0"/>
    <w:rPr>
      <w:sz w:val="21"/>
      <w:szCs w:val="21"/>
    </w:rPr>
  </w:style>
  <w:style w:type="character" w:customStyle="1" w:styleId="17">
    <w:name w:val="页眉 字符"/>
    <w:basedOn w:val="15"/>
    <w:link w:val="10"/>
    <w:qFormat/>
    <w:uiPriority w:val="99"/>
    <w:rPr>
      <w:sz w:val="18"/>
      <w:szCs w:val="18"/>
    </w:rPr>
  </w:style>
  <w:style w:type="character" w:customStyle="1" w:styleId="18">
    <w:name w:val="页脚 字符"/>
    <w:basedOn w:val="15"/>
    <w:link w:val="9"/>
    <w:qFormat/>
    <w:uiPriority w:val="99"/>
    <w:rPr>
      <w:sz w:val="18"/>
      <w:szCs w:val="18"/>
    </w:rPr>
  </w:style>
  <w:style w:type="character" w:customStyle="1" w:styleId="19">
    <w:name w:val="批注文字 字符"/>
    <w:basedOn w:val="15"/>
    <w:link w:val="6"/>
    <w:semiHidden/>
    <w:qFormat/>
    <w:uiPriority w:val="0"/>
    <w:rPr>
      <w:rFonts w:ascii="Times New Roman" w:hAnsi="Times New Roman" w:eastAsia="宋体" w:cs="Times New Roman"/>
      <w:szCs w:val="24"/>
    </w:rPr>
  </w:style>
  <w:style w:type="paragraph" w:customStyle="1" w:styleId="2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
    <w:name w:val="TableColumnHeading"/>
    <w:basedOn w:val="20"/>
    <w:next w:val="20"/>
    <w:qFormat/>
    <w:uiPriority w:val="0"/>
    <w:rPr>
      <w:color w:val="auto"/>
    </w:rPr>
  </w:style>
  <w:style w:type="paragraph" w:customStyle="1" w:styleId="22">
    <w:name w:val="TableText"/>
    <w:basedOn w:val="20"/>
    <w:next w:val="20"/>
    <w:qFormat/>
    <w:uiPriority w:val="0"/>
    <w:pPr>
      <w:widowControl/>
    </w:pPr>
    <w:rPr>
      <w:color w:val="auto"/>
    </w:rPr>
  </w:style>
  <w:style w:type="character" w:customStyle="1" w:styleId="23">
    <w:name w:val="批注框文本 字符"/>
    <w:basedOn w:val="15"/>
    <w:link w:val="8"/>
    <w:semiHidden/>
    <w:qFormat/>
    <w:uiPriority w:val="99"/>
    <w:rPr>
      <w:rFonts w:ascii="Times New Roman" w:hAnsi="Times New Roman" w:eastAsia="宋体" w:cs="Times New Roman"/>
      <w:sz w:val="18"/>
      <w:szCs w:val="18"/>
    </w:rPr>
  </w:style>
  <w:style w:type="character" w:customStyle="1" w:styleId="24">
    <w:name w:val="批注主题 字符"/>
    <w:basedOn w:val="19"/>
    <w:link w:val="13"/>
    <w:semiHidden/>
    <w:qFormat/>
    <w:uiPriority w:val="99"/>
    <w:rPr>
      <w:rFonts w:ascii="Times New Roman" w:hAnsi="Times New Roman" w:eastAsia="宋体" w:cs="Times New Roman"/>
      <w:b/>
      <w:bCs/>
      <w:szCs w:val="24"/>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标题 字符"/>
    <w:basedOn w:val="15"/>
    <w:link w:val="12"/>
    <w:qFormat/>
    <w:uiPriority w:val="0"/>
    <w:rPr>
      <w:rFonts w:ascii="仿宋_GB2312" w:hAnsi="仿宋" w:eastAsia="仿宋_GB2312" w:cs="Times New Roman"/>
      <w:kern w:val="2"/>
      <w:sz w:val="21"/>
      <w:szCs w:val="24"/>
    </w:rPr>
  </w:style>
  <w:style w:type="character" w:customStyle="1" w:styleId="27">
    <w:name w:val="正文文本 字符"/>
    <w:basedOn w:val="15"/>
    <w:link w:val="7"/>
    <w:semiHidden/>
    <w:qFormat/>
    <w:uiPriority w:val="99"/>
    <w:rPr>
      <w:rFonts w:ascii="Times New Roman" w:hAnsi="Times New Roman" w:eastAsia="宋体" w:cs="Times New Roman"/>
      <w:kern w:val="2"/>
      <w:sz w:val="21"/>
      <w:szCs w:val="24"/>
    </w:rPr>
  </w:style>
  <w:style w:type="character" w:customStyle="1" w:styleId="28">
    <w:name w:val="标题 2 字符"/>
    <w:basedOn w:val="15"/>
    <w:link w:val="3"/>
    <w:qFormat/>
    <w:uiPriority w:val="0"/>
    <w:rPr>
      <w:rFonts w:ascii="黑体" w:hAnsi="黑体" w:eastAsia="黑体" w:cs="Times New Roman"/>
      <w:smallCaps/>
      <w:kern w:val="2"/>
      <w:sz w:val="30"/>
      <w:szCs w:val="30"/>
    </w:rPr>
  </w:style>
  <w:style w:type="character" w:customStyle="1" w:styleId="29">
    <w:name w:val="标题 1 字符"/>
    <w:basedOn w:val="15"/>
    <w:link w:val="2"/>
    <w:qFormat/>
    <w:uiPriority w:val="9"/>
    <w:rPr>
      <w:rFonts w:ascii="黑体" w:hAnsi="黑体" w:eastAsia="黑体" w:cs="Times New Roman"/>
      <w:bCs/>
      <w:caps/>
      <w:kern w:val="2"/>
      <w:sz w:val="44"/>
      <w:szCs w:val="32"/>
    </w:rPr>
  </w:style>
  <w:style w:type="character" w:customStyle="1" w:styleId="30">
    <w:name w:val="标题 3 字符"/>
    <w:basedOn w:val="15"/>
    <w:link w:val="4"/>
    <w:qFormat/>
    <w:uiPriority w:val="0"/>
    <w:rPr>
      <w:rFonts w:ascii="黑体" w:hAnsi="黑体" w:eastAsia="黑体" w:cs="Times New Roman"/>
      <w:smallCaps/>
      <w:kern w:val="2"/>
      <w:sz w:val="30"/>
      <w:szCs w:val="30"/>
    </w:rPr>
  </w:style>
  <w:style w:type="paragraph" w:customStyle="1" w:styleId="31">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修订4"/>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2" Type="http://schemas.openxmlformats.org/officeDocument/2006/relationships/fontTable" Target="fontTable.xml"/><Relationship Id="rId81" Type="http://schemas.openxmlformats.org/officeDocument/2006/relationships/image" Target="media/image38.wmf"/><Relationship Id="rId80" Type="http://schemas.openxmlformats.org/officeDocument/2006/relationships/oleObject" Target="embeddings/oleObject39.bin"/><Relationship Id="rId8" Type="http://schemas.openxmlformats.org/officeDocument/2006/relationships/image" Target="media/image2.wmf"/><Relationship Id="rId79" Type="http://schemas.openxmlformats.org/officeDocument/2006/relationships/image" Target="media/image37.wmf"/><Relationship Id="rId78" Type="http://schemas.openxmlformats.org/officeDocument/2006/relationships/oleObject" Target="embeddings/oleObject38.bin"/><Relationship Id="rId77" Type="http://schemas.openxmlformats.org/officeDocument/2006/relationships/image" Target="media/image36.wmf"/><Relationship Id="rId76" Type="http://schemas.openxmlformats.org/officeDocument/2006/relationships/oleObject" Target="embeddings/oleObject37.bin"/><Relationship Id="rId75" Type="http://schemas.openxmlformats.org/officeDocument/2006/relationships/image" Target="media/image35.wmf"/><Relationship Id="rId74" Type="http://schemas.openxmlformats.org/officeDocument/2006/relationships/oleObject" Target="embeddings/oleObject36.bin"/><Relationship Id="rId73" Type="http://schemas.openxmlformats.org/officeDocument/2006/relationships/image" Target="media/image34.wmf"/><Relationship Id="rId72" Type="http://schemas.openxmlformats.org/officeDocument/2006/relationships/oleObject" Target="embeddings/oleObject35.bin"/><Relationship Id="rId71" Type="http://schemas.openxmlformats.org/officeDocument/2006/relationships/image" Target="media/image33.wmf"/><Relationship Id="rId70" Type="http://schemas.openxmlformats.org/officeDocument/2006/relationships/oleObject" Target="embeddings/oleObject34.bin"/><Relationship Id="rId7" Type="http://schemas.openxmlformats.org/officeDocument/2006/relationships/oleObject" Target="embeddings/oleObject2.bin"/><Relationship Id="rId69" Type="http://schemas.openxmlformats.org/officeDocument/2006/relationships/image" Target="media/image32.wmf"/><Relationship Id="rId68" Type="http://schemas.openxmlformats.org/officeDocument/2006/relationships/oleObject" Target="embeddings/oleObject33.bin"/><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 Type="http://schemas.openxmlformats.org/officeDocument/2006/relationships/oleObject" Target="embeddings/oleObject31.bin"/><Relationship Id="rId63" Type="http://schemas.openxmlformats.org/officeDocument/2006/relationships/image" Target="media/image29.wmf"/><Relationship Id="rId62" Type="http://schemas.openxmlformats.org/officeDocument/2006/relationships/oleObject" Target="embeddings/oleObject30.bin"/><Relationship Id="rId61" Type="http://schemas.openxmlformats.org/officeDocument/2006/relationships/image" Target="media/image28.wmf"/><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image" Target="media/image26.wmf"/><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image" Target="media/image21.wmf"/><Relationship Id="rId46" Type="http://schemas.openxmlformats.org/officeDocument/2006/relationships/oleObject" Target="embeddings/oleObject22.bin"/><Relationship Id="rId45" Type="http://schemas.openxmlformats.org/officeDocument/2006/relationships/image" Target="media/image20.wmf"/><Relationship Id="rId44" Type="http://schemas.openxmlformats.org/officeDocument/2006/relationships/oleObject" Target="embeddings/oleObject21.bin"/><Relationship Id="rId43" Type="http://schemas.openxmlformats.org/officeDocument/2006/relationships/image" Target="media/image19.wmf"/><Relationship Id="rId42" Type="http://schemas.openxmlformats.org/officeDocument/2006/relationships/oleObject" Target="embeddings/oleObject20.bin"/><Relationship Id="rId41" Type="http://schemas.openxmlformats.org/officeDocument/2006/relationships/image" Target="media/image18.wmf"/><Relationship Id="rId40" Type="http://schemas.openxmlformats.org/officeDocument/2006/relationships/oleObject" Target="embeddings/oleObject19.bin"/><Relationship Id="rId4" Type="http://schemas.openxmlformats.org/officeDocument/2006/relationships/theme" Target="theme/theme1.xml"/><Relationship Id="rId39" Type="http://schemas.openxmlformats.org/officeDocument/2006/relationships/image" Target="media/image17.wmf"/><Relationship Id="rId38" Type="http://schemas.openxmlformats.org/officeDocument/2006/relationships/oleObject" Target="embeddings/oleObject18.bin"/><Relationship Id="rId37" Type="http://schemas.openxmlformats.org/officeDocument/2006/relationships/image" Target="media/image16.wmf"/><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514</Words>
  <Characters>2934</Characters>
  <Lines>24</Lines>
  <Paragraphs>6</Paragraphs>
  <TotalTime>2</TotalTime>
  <ScaleCrop>false</ScaleCrop>
  <LinksUpToDate>false</LinksUpToDate>
  <CharactersWithSpaces>3442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2020-09-18T22:22:00Z</dcterms:created>
  <dc:creator>刘 骁</dc:creator>
  <cp:lastModifiedBy>陈静</cp:lastModifiedBy>
  <dcterms:modified xsi:type="dcterms:W3CDTF">2023-11-01T05:09:29Z</dcterms:modified>
  <dc:title>附件5：</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2DD0352E9A064E06A70B1EF2ECB02949_13</vt:lpwstr>
  </property>
</Properties>
</file>