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line="600" w:lineRule="exact"/>
        <w:jc w:val="center"/>
        <w:rPr>
          <w:rFonts w:ascii="Times New Roman" w:hAnsi="Times New Roman" w:eastAsia="华文中宋" w:cs="Times New Roman"/>
          <w:sz w:val="36"/>
          <w:szCs w:val="36"/>
        </w:rPr>
      </w:pPr>
      <w:r>
        <w:rPr>
          <w:rFonts w:ascii="Times New Roman" w:hAnsi="华文中宋" w:eastAsia="华文中宋" w:cs="Times New Roman"/>
          <w:sz w:val="36"/>
          <w:szCs w:val="36"/>
        </w:rPr>
        <w:t>电网</w:t>
      </w:r>
      <w:r>
        <w:rPr>
          <w:rFonts w:hint="eastAsia" w:ascii="Times New Roman" w:hAnsi="华文中宋" w:eastAsia="华文中宋" w:cs="Times New Roman"/>
          <w:sz w:val="36"/>
          <w:szCs w:val="36"/>
        </w:rPr>
        <w:t>企业</w:t>
      </w:r>
      <w:r>
        <w:rPr>
          <w:rFonts w:ascii="Times New Roman" w:hAnsi="华文中宋" w:eastAsia="华文中宋" w:cs="Times New Roman"/>
          <w:sz w:val="36"/>
          <w:szCs w:val="36"/>
        </w:rPr>
        <w:t>报送</w:t>
      </w:r>
      <w:r>
        <w:rPr>
          <w:rFonts w:hint="eastAsia" w:ascii="Times New Roman" w:hAnsi="华文中宋" w:eastAsia="华文中宋" w:cs="Times New Roman"/>
          <w:sz w:val="36"/>
          <w:szCs w:val="36"/>
        </w:rPr>
        <w:t>工作方案</w:t>
      </w:r>
      <w:r>
        <w:rPr>
          <w:rFonts w:ascii="Times New Roman" w:hAnsi="华文中宋" w:eastAsia="华文中宋" w:cs="Times New Roman"/>
          <w:sz w:val="36"/>
          <w:szCs w:val="36"/>
        </w:rPr>
        <w:t>提纲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（国家电网公司、南方电网公司、内蒙古电力公司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2017年电力运行情况</w:t>
      </w:r>
      <w:r>
        <w:rPr>
          <w:rFonts w:hint="eastAsia" w:ascii="Times New Roman" w:hAnsi="Times New Roman" w:eastAsia="仿宋_GB2312" w:cs="Times New Roman"/>
          <w:sz w:val="32"/>
          <w:szCs w:val="32"/>
        </w:rPr>
        <w:t>及可再生能源电力消纳效果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（一）电力运行基本情况。</w:t>
      </w:r>
      <w:r>
        <w:rPr>
          <w:rFonts w:ascii="Times New Roman" w:hAnsi="Times New Roman" w:eastAsia="仿宋_GB2312" w:cs="Times New Roman"/>
          <w:sz w:val="32"/>
          <w:szCs w:val="32"/>
        </w:rPr>
        <w:t>营业</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内2017年电力负荷情况、跨省电力输送情况、电力交易情况。</w:t>
      </w:r>
    </w:p>
    <w:p>
      <w:pPr>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2017年可再生能源电力消纳情况</w:t>
      </w:r>
      <w:r>
        <w:rPr>
          <w:rFonts w:hint="eastAsia" w:ascii="Times New Roman" w:hAnsi="Times New Roman" w:eastAsia="仿宋_GB2312" w:cs="Times New Roman"/>
          <w:sz w:val="32"/>
          <w:szCs w:val="32"/>
        </w:rPr>
        <w:t>及有关措施的效果。</w:t>
      </w:r>
      <w:r>
        <w:rPr>
          <w:rFonts w:ascii="Times New Roman" w:hAnsi="Times New Roman" w:eastAsia="仿宋_GB2312" w:cs="Times New Roman"/>
          <w:sz w:val="32"/>
          <w:szCs w:val="32"/>
        </w:rPr>
        <w:t>提供营业</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内2017年可再生能源电力消纳情况</w:t>
      </w:r>
      <w:r>
        <w:rPr>
          <w:rFonts w:hint="eastAsia" w:ascii="Times New Roman" w:hAnsi="Times New Roman" w:eastAsia="仿宋_GB2312" w:cs="Times New Roman"/>
          <w:sz w:val="32"/>
          <w:szCs w:val="32"/>
        </w:rPr>
        <w:t>，包括可再生能源电力占全社会用电量比重及同比变化情况，</w:t>
      </w:r>
      <w:r>
        <w:rPr>
          <w:rFonts w:ascii="Times New Roman" w:hAnsi="Times New Roman" w:eastAsia="仿宋_GB2312" w:cs="Times New Roman"/>
          <w:sz w:val="32"/>
          <w:szCs w:val="32"/>
        </w:rPr>
        <w:t>弃风率、弃光率和水能利用情况等</w:t>
      </w:r>
      <w:r>
        <w:rPr>
          <w:rFonts w:hint="eastAsia" w:ascii="Times New Roman" w:hAnsi="Times New Roman" w:eastAsia="仿宋_GB2312" w:cs="Times New Roman"/>
          <w:sz w:val="32"/>
          <w:szCs w:val="32"/>
        </w:rPr>
        <w:t xml:space="preserve">。对已采取的各类促进可再生能源电力消纳措施逐项说明取得的效果和存在的问题。  </w:t>
      </w:r>
    </w:p>
    <w:p>
      <w:pPr>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2018年</w:t>
      </w:r>
      <w:r>
        <w:rPr>
          <w:rFonts w:hint="eastAsia" w:ascii="Times New Roman" w:hAnsi="Times New Roman" w:eastAsia="仿宋_GB2312" w:cs="Times New Roman"/>
          <w:sz w:val="32"/>
          <w:szCs w:val="32"/>
        </w:rPr>
        <w:t>可再生能源电力消纳形势分析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提供营业</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内各省级区域电网负荷预测、新建成跨省输</w:t>
      </w:r>
      <w:r>
        <w:rPr>
          <w:rFonts w:hint="eastAsia" w:ascii="Times New Roman" w:hAnsi="Times New Roman" w:eastAsia="仿宋_GB2312" w:cs="Times New Roman"/>
          <w:sz w:val="32"/>
          <w:szCs w:val="32"/>
        </w:rPr>
        <w:t>电</w:t>
      </w:r>
      <w:r>
        <w:rPr>
          <w:rFonts w:ascii="Times New Roman" w:hAnsi="Times New Roman" w:eastAsia="仿宋_GB2312" w:cs="Times New Roman"/>
          <w:sz w:val="32"/>
          <w:szCs w:val="32"/>
        </w:rPr>
        <w:t>通道情况、常规火电和可再生能源电力装机和发电量（利用小时数）预测以及交易电量预测等情况。</w:t>
      </w:r>
    </w:p>
    <w:p>
      <w:pPr>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三、促进</w:t>
      </w:r>
      <w:r>
        <w:rPr>
          <w:rFonts w:ascii="Times New Roman" w:hAnsi="Times New Roman" w:eastAsia="仿宋_GB2312" w:cs="Times New Roman"/>
          <w:sz w:val="32"/>
          <w:szCs w:val="32"/>
        </w:rPr>
        <w:t>可再生能源</w:t>
      </w:r>
      <w:r>
        <w:rPr>
          <w:rFonts w:hint="eastAsia" w:ascii="Times New Roman" w:hAnsi="Times New Roman" w:eastAsia="仿宋_GB2312" w:cs="Times New Roman"/>
          <w:sz w:val="32"/>
          <w:szCs w:val="32"/>
        </w:rPr>
        <w:t>电力</w:t>
      </w:r>
      <w:r>
        <w:rPr>
          <w:rFonts w:ascii="Times New Roman" w:hAnsi="Times New Roman" w:eastAsia="仿宋_GB2312" w:cs="Times New Roman"/>
          <w:sz w:val="32"/>
          <w:szCs w:val="32"/>
        </w:rPr>
        <w:t>消纳的</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方案和措施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提</w:t>
      </w:r>
      <w:r>
        <w:rPr>
          <w:rFonts w:hint="eastAsia" w:ascii="Times New Roman" w:hAnsi="Times New Roman" w:eastAsia="仿宋_GB2312" w:cs="Times New Roman"/>
          <w:sz w:val="32"/>
          <w:szCs w:val="32"/>
        </w:rPr>
        <w:t>出营业区域</w:t>
      </w:r>
      <w:r>
        <w:rPr>
          <w:rFonts w:ascii="Times New Roman" w:hAnsi="Times New Roman" w:eastAsia="仿宋_GB2312" w:cs="Times New Roman"/>
          <w:sz w:val="32"/>
          <w:szCs w:val="32"/>
        </w:rPr>
        <w:t>内</w:t>
      </w:r>
      <w:r>
        <w:rPr>
          <w:rFonts w:hint="eastAsia" w:ascii="Times New Roman" w:hAnsi="Times New Roman" w:eastAsia="仿宋_GB2312" w:cs="Times New Roman"/>
          <w:sz w:val="32"/>
          <w:szCs w:val="32"/>
        </w:rPr>
        <w:t>解决可再生能源电力送出瓶颈的电网工程建设计划，对各可再生能源集中开发区域的电力送出解决“卡脖子”及强化送出能力的工程要逐项列出清单。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（二）已</w:t>
      </w:r>
      <w:r>
        <w:rPr>
          <w:rFonts w:ascii="Times New Roman" w:hAnsi="Times New Roman" w:eastAsia="仿宋_GB2312" w:cs="Times New Roman"/>
          <w:sz w:val="32"/>
          <w:szCs w:val="32"/>
        </w:rPr>
        <w:t>建成跨省输电通道输送可再生能源电力方案</w:t>
      </w:r>
      <w:r>
        <w:rPr>
          <w:rFonts w:hint="eastAsia" w:ascii="Times New Roman" w:hAnsi="Times New Roman" w:eastAsia="仿宋_GB2312" w:cs="Times New Roman"/>
          <w:sz w:val="32"/>
          <w:szCs w:val="32"/>
        </w:rPr>
        <w:t>，提出各输电通道输送可再生能源电量的年度目标或预测值。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（三）各省级区域</w:t>
      </w:r>
      <w:r>
        <w:rPr>
          <w:rFonts w:ascii="Times New Roman" w:hAnsi="Times New Roman" w:eastAsia="仿宋_GB2312" w:cs="Times New Roman"/>
          <w:sz w:val="32"/>
          <w:szCs w:val="32"/>
        </w:rPr>
        <w:t>本地消纳可再生能源电力实施方案</w:t>
      </w:r>
      <w:r>
        <w:rPr>
          <w:rFonts w:hint="eastAsia" w:ascii="Times New Roman" w:hAnsi="Times New Roman" w:eastAsia="仿宋_GB2312" w:cs="Times New Roman"/>
          <w:sz w:val="32"/>
          <w:szCs w:val="32"/>
        </w:rPr>
        <w:t>，包括严格执行火电机组最低技术出力、挖掘调峰潜力、深度调峰补偿、火电灵活性改造、省级共享旋转备用、电能替代扩大电力消费等。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扩大市场交易促进可再生能源电力消纳，包括：指导电力交易中心优先开展可再生能源电力交易、组织消纳可再生能源为主要目的的自备电厂替代发电、大用户直接交易等，对各省级区域通过交易促进可再生能源消纳电量进行预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B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editor</dc:creator>
  <cp:lastModifiedBy>萝卜未成年</cp:lastModifiedBy>
  <dcterms:modified xsi:type="dcterms:W3CDTF">2018-05-24T07:43:00Z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