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98" w:rsidRPr="003D3E33" w:rsidRDefault="00183E98" w:rsidP="00183E98">
      <w:pPr>
        <w:spacing w:line="560" w:lineRule="exact"/>
        <w:rPr>
          <w:rFonts w:ascii="黑体" w:eastAsia="黑体" w:hAnsi="黑体" w:cs="宋体" w:hint="eastAsia"/>
          <w:sz w:val="32"/>
          <w:szCs w:val="32"/>
        </w:rPr>
      </w:pPr>
      <w:r w:rsidRPr="003D3E33">
        <w:rPr>
          <w:rFonts w:ascii="黑体" w:eastAsia="黑体" w:hAnsi="黑体" w:cs="宋体" w:hint="eastAsia"/>
          <w:sz w:val="32"/>
          <w:szCs w:val="32"/>
        </w:rPr>
        <w:t>附件</w:t>
      </w:r>
    </w:p>
    <w:p w:rsidR="00183E98" w:rsidRPr="003D3E33" w:rsidRDefault="00183E98" w:rsidP="00183E98">
      <w:pPr>
        <w:spacing w:line="660" w:lineRule="exact"/>
        <w:jc w:val="center"/>
        <w:rPr>
          <w:rFonts w:ascii="方正小标宋简体" w:eastAsia="方正小标宋简体" w:hint="eastAsia"/>
          <w:sz w:val="44"/>
          <w:szCs w:val="44"/>
        </w:rPr>
      </w:pPr>
      <w:r w:rsidRPr="003D3E33">
        <w:rPr>
          <w:rFonts w:ascii="方正小标宋简体" w:eastAsia="方正小标宋简体" w:hint="eastAsia"/>
          <w:sz w:val="44"/>
          <w:szCs w:val="44"/>
        </w:rPr>
        <w:t>2019年地方知识产权战略实施工作要点表</w:t>
      </w:r>
    </w:p>
    <w:p w:rsidR="00183E98" w:rsidRDefault="00183E98" w:rsidP="00183E98">
      <w:pPr>
        <w:spacing w:line="300" w:lineRule="exact"/>
        <w:ind w:firstLineChars="200" w:firstLine="640"/>
        <w:rPr>
          <w:rFonts w:ascii="仿宋_GB2312" w:eastAsia="仿宋_GB2312" w:hAnsi="宋体" w:cs="宋体" w:hint="eastAsia"/>
          <w:sz w:val="32"/>
          <w:szCs w:val="3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1662"/>
        <w:gridCol w:w="6467"/>
        <w:gridCol w:w="3597"/>
        <w:gridCol w:w="1678"/>
      </w:tblGrid>
      <w:tr w:rsidR="00183E98" w:rsidRPr="00CB5ADB" w:rsidTr="00776B28">
        <w:trPr>
          <w:trHeight w:val="340"/>
          <w:tblHeader/>
          <w:jc w:val="center"/>
        </w:trPr>
        <w:tc>
          <w:tcPr>
            <w:tcW w:w="771" w:type="dxa"/>
            <w:vAlign w:val="center"/>
          </w:tcPr>
          <w:p w:rsidR="00183E98" w:rsidRPr="00CB5ADB" w:rsidRDefault="00183E98" w:rsidP="00776B28">
            <w:pPr>
              <w:spacing w:line="280" w:lineRule="exact"/>
              <w:jc w:val="center"/>
              <w:rPr>
                <w:rFonts w:ascii="黑体" w:eastAsia="黑体" w:hAnsi="黑体" w:hint="eastAsia"/>
                <w:sz w:val="24"/>
              </w:rPr>
            </w:pPr>
            <w:r w:rsidRPr="00CB5ADB">
              <w:rPr>
                <w:rFonts w:ascii="黑体" w:eastAsia="黑体" w:hAnsi="黑体" w:hint="eastAsia"/>
                <w:sz w:val="24"/>
              </w:rPr>
              <w:t>序号</w:t>
            </w:r>
          </w:p>
        </w:tc>
        <w:tc>
          <w:tcPr>
            <w:tcW w:w="1662" w:type="dxa"/>
            <w:vAlign w:val="center"/>
          </w:tcPr>
          <w:p w:rsidR="00183E98" w:rsidRPr="00CB5ADB" w:rsidRDefault="00183E98" w:rsidP="00776B28">
            <w:pPr>
              <w:spacing w:line="280" w:lineRule="exact"/>
              <w:jc w:val="center"/>
              <w:rPr>
                <w:rFonts w:ascii="黑体" w:eastAsia="黑体" w:hAnsi="黑体" w:hint="eastAsia"/>
                <w:sz w:val="24"/>
              </w:rPr>
            </w:pPr>
            <w:r w:rsidRPr="00CB5ADB">
              <w:rPr>
                <w:rFonts w:ascii="黑体" w:eastAsia="黑体" w:hAnsi="黑体" w:hint="eastAsia"/>
                <w:sz w:val="24"/>
              </w:rPr>
              <w:t>工作重点</w:t>
            </w:r>
          </w:p>
        </w:tc>
        <w:tc>
          <w:tcPr>
            <w:tcW w:w="6467" w:type="dxa"/>
            <w:vAlign w:val="center"/>
          </w:tcPr>
          <w:p w:rsidR="00183E98" w:rsidRPr="00CB5ADB" w:rsidRDefault="00183E98" w:rsidP="00776B28">
            <w:pPr>
              <w:spacing w:line="280" w:lineRule="exact"/>
              <w:jc w:val="center"/>
              <w:rPr>
                <w:rFonts w:ascii="黑体" w:eastAsia="黑体" w:hAnsi="黑体" w:hint="eastAsia"/>
                <w:sz w:val="24"/>
              </w:rPr>
            </w:pPr>
            <w:r w:rsidRPr="00CB5ADB">
              <w:rPr>
                <w:rFonts w:ascii="黑体" w:eastAsia="黑体" w:hAnsi="黑体" w:hint="eastAsia"/>
                <w:sz w:val="24"/>
              </w:rPr>
              <w:t>工作内容</w:t>
            </w:r>
          </w:p>
        </w:tc>
        <w:tc>
          <w:tcPr>
            <w:tcW w:w="3597" w:type="dxa"/>
            <w:vAlign w:val="center"/>
          </w:tcPr>
          <w:p w:rsidR="00183E98" w:rsidRPr="00CB5ADB" w:rsidRDefault="00183E98" w:rsidP="00776B28">
            <w:pPr>
              <w:spacing w:line="280" w:lineRule="exact"/>
              <w:jc w:val="center"/>
              <w:rPr>
                <w:rFonts w:ascii="黑体" w:eastAsia="黑体" w:hAnsi="黑体" w:hint="eastAsia"/>
                <w:sz w:val="24"/>
              </w:rPr>
            </w:pPr>
            <w:r w:rsidRPr="00CB5ADB">
              <w:rPr>
                <w:rFonts w:ascii="黑体" w:eastAsia="黑体" w:hAnsi="黑体" w:hint="eastAsia"/>
                <w:sz w:val="24"/>
              </w:rPr>
              <w:t>具体举措及成果形式</w:t>
            </w:r>
          </w:p>
        </w:tc>
        <w:tc>
          <w:tcPr>
            <w:tcW w:w="1678" w:type="dxa"/>
            <w:vAlign w:val="center"/>
          </w:tcPr>
          <w:p w:rsidR="00183E98" w:rsidRPr="00CB5ADB" w:rsidRDefault="00183E98" w:rsidP="00776B28">
            <w:pPr>
              <w:spacing w:line="280" w:lineRule="exact"/>
              <w:jc w:val="center"/>
              <w:rPr>
                <w:rFonts w:ascii="黑体" w:eastAsia="黑体" w:hAnsi="黑体" w:hint="eastAsia"/>
                <w:sz w:val="24"/>
              </w:rPr>
            </w:pPr>
            <w:r w:rsidRPr="00CB5ADB">
              <w:rPr>
                <w:rFonts w:ascii="黑体" w:eastAsia="黑体" w:hAnsi="黑体" w:hint="eastAsia"/>
                <w:sz w:val="24"/>
              </w:rPr>
              <w:t>责任部门</w:t>
            </w:r>
          </w:p>
        </w:tc>
      </w:tr>
      <w:tr w:rsidR="00183E98" w:rsidRPr="00CB5ADB" w:rsidTr="00776B28">
        <w:trPr>
          <w:trHeight w:val="284"/>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t>1</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推进知识产权管理体制机制改革</w:t>
            </w: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开展知识产权管理体制机制改革</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开展知识产权区域布局试点，推进区域知识产权资源配置和政策优化调整</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梳理整合专利、商标和地理标志政策、项目和平台</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知识产权服务业集聚区建设</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重大经济活动知识产权评议</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对领导干部综合考核评价时，注重发明创造、保护知识产权、加强知识产权转化运用、营造良好环境等方面的情况和成效</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按国家有关规定，设置知识产权奖励项目</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推进知识产权军民融合改革试点</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推进“互联网+政务服务”，建设“一站式”服务大厅</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t>2</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实施严格的知识产权保护</w:t>
            </w: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推进侵犯知识产权行政处罚案件信息公开</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完善知识产权快速维</w:t>
            </w:r>
            <w:proofErr w:type="gramStart"/>
            <w:r w:rsidRPr="00CB5ADB">
              <w:rPr>
                <w:rFonts w:ascii="仿宋_GB2312" w:eastAsia="仿宋_GB2312" w:hAnsi="宋体" w:hint="eastAsia"/>
                <w:sz w:val="24"/>
              </w:rPr>
              <w:t>权机制</w:t>
            </w:r>
            <w:proofErr w:type="gramEnd"/>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加强海关知识产权保护</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加大国际展会、电子商务等领域知识产权执法力度</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加大知识产权犯罪打击力度</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加强知识产权行政执法与刑事司法衔接</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将故意侵犯知识产权行为情况纳入企业和个人信用记录</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加强大型专业化市场知识产权管理和保护</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加强在线创意、研发成果的知识产权保护</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加大对小</w:t>
            </w:r>
            <w:proofErr w:type="gramStart"/>
            <w:r w:rsidRPr="00CB5ADB">
              <w:rPr>
                <w:rFonts w:ascii="仿宋_GB2312" w:eastAsia="仿宋_GB2312" w:hAnsi="宋体" w:hint="eastAsia"/>
                <w:sz w:val="24"/>
              </w:rPr>
              <w:t>微企业</w:t>
            </w:r>
            <w:proofErr w:type="gramEnd"/>
            <w:r w:rsidRPr="00CB5ADB">
              <w:rPr>
                <w:rFonts w:ascii="仿宋_GB2312" w:eastAsia="仿宋_GB2312" w:hAnsi="宋体" w:hint="eastAsia"/>
                <w:sz w:val="24"/>
              </w:rPr>
              <w:t>知识产权保护援助力度</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284"/>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spacing w:line="280" w:lineRule="exact"/>
              <w:rPr>
                <w:rFonts w:ascii="仿宋_GB2312" w:eastAsia="仿宋_GB2312" w:hAnsi="宋体" w:hint="eastAsia"/>
                <w:sz w:val="24"/>
              </w:rPr>
            </w:pPr>
          </w:p>
        </w:tc>
        <w:tc>
          <w:tcPr>
            <w:tcW w:w="1678" w:type="dxa"/>
            <w:vAlign w:val="center"/>
          </w:tcPr>
          <w:p w:rsidR="00183E98" w:rsidRPr="00CB5ADB" w:rsidRDefault="00183E98" w:rsidP="00776B28">
            <w:pPr>
              <w:spacing w:line="280" w:lineRule="exact"/>
              <w:rPr>
                <w:rFonts w:ascii="仿宋_GB2312" w:eastAsia="仿宋_GB2312" w:hAnsi="宋体" w:hint="eastAsia"/>
                <w:sz w:val="24"/>
              </w:rPr>
            </w:pPr>
          </w:p>
        </w:tc>
      </w:tr>
      <w:tr w:rsidR="00183E98" w:rsidRPr="00CB5ADB" w:rsidTr="00776B28">
        <w:trPr>
          <w:trHeight w:val="397"/>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lastRenderedPageBreak/>
              <w:t>3</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促进知识产权创造运用</w:t>
            </w: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鼓励和引导企事业单位依法建立健全发明报告、权属划分、奖励报酬、纠纷解决等职务发明管理制度</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探索完善创新成果收益分配制度</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鼓励国有企业赋予下属科研院所知识产权处置和收益分配权</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鼓励高等院校、科研院所等事业单位通过无偿许可专利的方式，支持单位员工和大学生创新创业</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加快建设知识产权运营服务体系</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做好企业、高校、科研组织、专利代理机构贯标工作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引导企业做好知识产权会计信息披露工作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创新知识产权投融资产品，探索知识产权证券化，完善知识产权信用担保机制</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推动高校、科研院所建立健全知识产权转移转化机构</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2D5794" w:rsidRDefault="00183E98" w:rsidP="00776B28">
            <w:pPr>
              <w:rPr>
                <w:rFonts w:ascii="仿宋_GB2312" w:eastAsia="仿宋_GB2312" w:hAnsi="宋体" w:hint="eastAsia"/>
                <w:sz w:val="24"/>
              </w:rPr>
            </w:pPr>
            <w:r w:rsidRPr="002D5794">
              <w:rPr>
                <w:rFonts w:ascii="仿宋_GB2312" w:eastAsia="仿宋_GB2312" w:hAnsi="宋体" w:hint="eastAsia"/>
                <w:sz w:val="24"/>
              </w:rPr>
              <w:t>开展知识产权质押融资风险补偿基金和重点产业知识产权运营基金试点</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探索知识产权创造与运营的众筹、</w:t>
            </w:r>
            <w:proofErr w:type="gramStart"/>
            <w:r w:rsidRPr="00CB5ADB">
              <w:rPr>
                <w:rFonts w:ascii="仿宋_GB2312" w:eastAsia="仿宋_GB2312" w:hAnsi="宋体" w:hint="eastAsia"/>
                <w:sz w:val="24"/>
              </w:rPr>
              <w:t>众包模式</w:t>
            </w:r>
            <w:proofErr w:type="gramEnd"/>
            <w:r w:rsidRPr="00CB5ADB">
              <w:rPr>
                <w:rFonts w:ascii="仿宋_GB2312" w:eastAsia="仿宋_GB2312" w:hAnsi="宋体" w:hint="eastAsia"/>
                <w:sz w:val="24"/>
              </w:rPr>
              <w:t>，促进“互联网+知识产权”融合发展</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探索建设知识产权密集型产业培育机制，引导社会资金投入知识产权密集型产业，推行知识产权集群管理</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实施专利质量提升工程，严厉打击非正常专利申请行为，调整专利申请政策，突出质量导向</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严厉打击商标囤积、恶意抢注行为</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加大轻工、纺织、服装等产业的外观设计专利保护力度</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商标富农工作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lastRenderedPageBreak/>
              <w:t>3</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促进知识产权创造运用</w:t>
            </w: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开展知识产权精准扶贫工作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加强对非物质文化遗产、民间文艺、传统知识的开发利用，推进文化创意、设计服务与相关产业融合发展</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支持企业运用知识产权进行海外股权投资</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支持企业建立品牌管理体系，鼓励企业收购海外知名品牌</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保护和传承老字号，大力推动中医药、中华传统餐饮、工艺美术等企业“走出去”</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pacing w:val="-4"/>
                <w:sz w:val="24"/>
              </w:rPr>
            </w:pPr>
            <w:r w:rsidRPr="00CB5ADB">
              <w:rPr>
                <w:rFonts w:ascii="仿宋_GB2312" w:eastAsia="仿宋_GB2312" w:hAnsi="宋体" w:hint="eastAsia"/>
                <w:spacing w:val="-4"/>
                <w:sz w:val="24"/>
              </w:rPr>
              <w:t>增加知识产权信息服务网点，完善知识产权信息公共服务网络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t>4</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加强重点产业知识产权海外布局和风险防控</w:t>
            </w: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加大创新成果标准化和专利化工作力度，推动形成标准研制与专利布局有效衔接机制</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实施专利导航项目</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推动企业、科研机构、高等院校等联合开展海外专利布局</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鼓励企业建立专利收储资金</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bottom"/>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支持法律服务机构为企业提供全方位、高品质知识产权法律服务</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探索以公证方式保管知识产权证据、证明材料</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推动企业建立知识产权分析评议机制，重点针对人才引进、国际参展、产品和技术进出口等活动开展知识产权风险评估</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510"/>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lastRenderedPageBreak/>
              <w:t>5</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提升知识产权对外合作水平</w:t>
            </w: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加强国内外知名地理标志产品的保护合作，促进地理标志产品国际化发展</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拓宽企业参与国际和区域知识产权规则制修订途径</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推动国内服务机构、产业联盟等加强与国外相关组织的合作交流</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proofErr w:type="gramStart"/>
            <w:r w:rsidRPr="00CB5ADB">
              <w:rPr>
                <w:rFonts w:ascii="仿宋_GB2312" w:eastAsia="仿宋_GB2312" w:hAnsi="宋体" w:hint="eastAsia"/>
                <w:sz w:val="24"/>
              </w:rPr>
              <w:t>知识产权智库建设</w:t>
            </w:r>
            <w:proofErr w:type="gramEnd"/>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restart"/>
            <w:vAlign w:val="center"/>
          </w:tcPr>
          <w:p w:rsidR="00183E98" w:rsidRPr="00CB5ADB" w:rsidRDefault="00183E98" w:rsidP="00776B28">
            <w:pPr>
              <w:spacing w:line="280" w:lineRule="exact"/>
              <w:jc w:val="center"/>
              <w:rPr>
                <w:rFonts w:ascii="仿宋_GB2312" w:eastAsia="仿宋_GB2312" w:hAnsi="宋体" w:hint="eastAsia"/>
                <w:sz w:val="24"/>
              </w:rPr>
            </w:pPr>
            <w:r w:rsidRPr="00CB5ADB">
              <w:rPr>
                <w:rFonts w:ascii="仿宋_GB2312" w:eastAsia="仿宋_GB2312" w:hAnsi="宋体" w:hint="eastAsia"/>
                <w:sz w:val="24"/>
              </w:rPr>
              <w:t>6</w:t>
            </w:r>
          </w:p>
        </w:tc>
        <w:tc>
          <w:tcPr>
            <w:tcW w:w="1662" w:type="dxa"/>
            <w:vMerge w:val="restart"/>
            <w:vAlign w:val="center"/>
          </w:tcPr>
          <w:p w:rsidR="00183E98" w:rsidRPr="00CB5ADB" w:rsidRDefault="00183E98" w:rsidP="00776B28">
            <w:pPr>
              <w:spacing w:line="280" w:lineRule="exact"/>
              <w:rPr>
                <w:rFonts w:ascii="仿宋_GB2312" w:eastAsia="仿宋_GB2312" w:hAnsi="宋体" w:hint="eastAsia"/>
                <w:sz w:val="24"/>
              </w:rPr>
            </w:pPr>
            <w:r w:rsidRPr="00CB5ADB">
              <w:rPr>
                <w:rFonts w:ascii="仿宋_GB2312" w:eastAsia="仿宋_GB2312" w:hAnsi="宋体" w:hint="eastAsia"/>
                <w:sz w:val="24"/>
              </w:rPr>
              <w:t>加强组织实施和政策保障</w:t>
            </w: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完善和加强知识产权战略实施统筹协调机制</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推进知识产权强省、强市、强企建设</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研究面向新时代的知识产权强省（市、区）战略</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运用财政资金引导和促进科技成果产权化、知识产权产业化</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积极推进知识产权海外侵权责任保险工作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加大对各</w:t>
            </w:r>
            <w:proofErr w:type="gramStart"/>
            <w:r w:rsidRPr="00CB5ADB">
              <w:rPr>
                <w:rFonts w:ascii="仿宋_GB2312" w:eastAsia="仿宋_GB2312" w:hAnsi="宋体" w:hint="eastAsia"/>
                <w:sz w:val="24"/>
              </w:rPr>
              <w:t>类创新</w:t>
            </w:r>
            <w:proofErr w:type="gramEnd"/>
            <w:r w:rsidRPr="00CB5ADB">
              <w:rPr>
                <w:rFonts w:ascii="仿宋_GB2312" w:eastAsia="仿宋_GB2312" w:hAnsi="宋体" w:hint="eastAsia"/>
                <w:sz w:val="24"/>
              </w:rPr>
              <w:t>人才的知识产权培训力度</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鼓励我国知识产权人才获得海外相应资格证书</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鼓励各地引进高端知识产权人才</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加强知识产权文化建设</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加大知识产权宣传力度，加强知识产权公益宣传和咨询服务</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广泛开展知识产权普及型教育</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r w:rsidR="00183E98" w:rsidRPr="00CB5ADB" w:rsidTr="00776B28">
        <w:trPr>
          <w:trHeight w:val="397"/>
          <w:jc w:val="center"/>
        </w:trPr>
        <w:tc>
          <w:tcPr>
            <w:tcW w:w="771" w:type="dxa"/>
            <w:vMerge/>
            <w:vAlign w:val="center"/>
          </w:tcPr>
          <w:p w:rsidR="00183E98" w:rsidRPr="00CB5ADB" w:rsidRDefault="00183E98" w:rsidP="00776B28">
            <w:pPr>
              <w:spacing w:line="280" w:lineRule="exact"/>
              <w:jc w:val="center"/>
              <w:rPr>
                <w:rFonts w:ascii="仿宋_GB2312" w:eastAsia="仿宋_GB2312" w:hAnsi="宋体" w:hint="eastAsia"/>
                <w:sz w:val="24"/>
              </w:rPr>
            </w:pPr>
          </w:p>
        </w:tc>
        <w:tc>
          <w:tcPr>
            <w:tcW w:w="1662" w:type="dxa"/>
            <w:vMerge/>
            <w:vAlign w:val="center"/>
          </w:tcPr>
          <w:p w:rsidR="00183E98" w:rsidRPr="00CB5ADB" w:rsidRDefault="00183E98" w:rsidP="00776B28">
            <w:pPr>
              <w:spacing w:line="280" w:lineRule="exact"/>
              <w:rPr>
                <w:rFonts w:ascii="仿宋_GB2312" w:eastAsia="仿宋_GB2312" w:hAnsi="宋体" w:hint="eastAsia"/>
                <w:sz w:val="24"/>
              </w:rPr>
            </w:pPr>
          </w:p>
        </w:tc>
        <w:tc>
          <w:tcPr>
            <w:tcW w:w="6467" w:type="dxa"/>
            <w:vAlign w:val="center"/>
          </w:tcPr>
          <w:p w:rsidR="00183E98" w:rsidRPr="00CB5ADB" w:rsidRDefault="00183E98" w:rsidP="00776B28">
            <w:pPr>
              <w:rPr>
                <w:rFonts w:ascii="仿宋_GB2312" w:eastAsia="仿宋_GB2312" w:hAnsi="宋体" w:hint="eastAsia"/>
                <w:sz w:val="24"/>
              </w:rPr>
            </w:pPr>
            <w:r w:rsidRPr="00CB5ADB">
              <w:rPr>
                <w:rFonts w:ascii="仿宋_GB2312" w:eastAsia="仿宋_GB2312" w:hAnsi="宋体" w:hint="eastAsia"/>
                <w:sz w:val="24"/>
              </w:rPr>
              <w:t>其他：未列入但地方开展的创新性工作</w:t>
            </w:r>
          </w:p>
        </w:tc>
        <w:tc>
          <w:tcPr>
            <w:tcW w:w="3597" w:type="dxa"/>
            <w:vAlign w:val="center"/>
          </w:tcPr>
          <w:p w:rsidR="00183E98" w:rsidRPr="00CB5ADB" w:rsidRDefault="00183E98" w:rsidP="00776B28">
            <w:pPr>
              <w:rPr>
                <w:rFonts w:ascii="仿宋_GB2312" w:eastAsia="仿宋_GB2312" w:hAnsi="宋体" w:hint="eastAsia"/>
                <w:sz w:val="24"/>
              </w:rPr>
            </w:pPr>
          </w:p>
        </w:tc>
        <w:tc>
          <w:tcPr>
            <w:tcW w:w="1678" w:type="dxa"/>
            <w:vAlign w:val="center"/>
          </w:tcPr>
          <w:p w:rsidR="00183E98" w:rsidRPr="00CB5ADB" w:rsidRDefault="00183E98" w:rsidP="00776B28">
            <w:pPr>
              <w:rPr>
                <w:rFonts w:ascii="仿宋_GB2312" w:eastAsia="仿宋_GB2312" w:hAnsi="宋体" w:hint="eastAsia"/>
                <w:sz w:val="24"/>
              </w:rPr>
            </w:pPr>
          </w:p>
        </w:tc>
      </w:tr>
    </w:tbl>
    <w:p w:rsidR="00FD6003" w:rsidRPr="00183E98" w:rsidRDefault="00FD6003"/>
    <w:sectPr w:rsidR="00FD6003" w:rsidRPr="00183E98" w:rsidSect="00183E98">
      <w:pgSz w:w="16838" w:h="11906" w:orient="landscape"/>
      <w:pgMar w:top="1588" w:right="1701" w:bottom="147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E98"/>
    <w:rsid w:val="00183E98"/>
    <w:rsid w:val="00FD6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9546F-1B21-49E2-BD2F-60F72AB9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1</cp:revision>
  <dcterms:created xsi:type="dcterms:W3CDTF">2019-01-03T03:31:00Z</dcterms:created>
  <dcterms:modified xsi:type="dcterms:W3CDTF">2019-01-03T03:32:00Z</dcterms:modified>
</cp:coreProperties>
</file>