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numPr>
          <w:ilvl w:val="0"/>
          <w:numId w:val="0"/>
        </w:numPr>
        <w:spacing w:before="312" w:after="312" w:line="520" w:lineRule="exact"/>
        <w:ind w:firstLine="0" w:firstLineChars="0"/>
        <w:rPr>
          <w:rFonts w:hint="eastAsia" w:ascii="仿宋" w:hAnsi="仿宋" w:eastAsia="仿宋"/>
          <w:sz w:val="28"/>
          <w:szCs w:val="28"/>
        </w:rPr>
      </w:pPr>
      <w:bookmarkStart w:id="0" w:name="StandardName"/>
      <w:r>
        <w:rPr>
          <w:rFonts w:hint="eastAsia" w:ascii="仿宋" w:hAnsi="仿宋" w:eastAsia="仿宋"/>
          <w:sz w:val="28"/>
          <w:szCs w:val="28"/>
        </w:rPr>
        <w:t>附件4：</w:t>
      </w:r>
    </w:p>
    <w:p>
      <w:pPr>
        <w:pStyle w:val="16"/>
        <w:numPr>
          <w:ilvl w:val="0"/>
          <w:numId w:val="0"/>
        </w:numPr>
        <w:spacing w:before="312" w:after="312" w:line="520" w:lineRule="exact"/>
        <w:ind w:firstLine="0" w:firstLineChars="0"/>
        <w:jc w:val="center"/>
        <w:rPr>
          <w:rFonts w:hint="eastAsia" w:ascii="宋体" w:hAnsi="宋体" w:eastAsia="宋体"/>
          <w:b/>
          <w:sz w:val="32"/>
          <w:szCs w:val="32"/>
        </w:rPr>
      </w:pPr>
      <w:r>
        <w:rPr>
          <w:rFonts w:hint="eastAsia" w:ascii="宋体" w:hAnsi="宋体" w:eastAsia="宋体"/>
          <w:b/>
          <w:sz w:val="32"/>
          <w:szCs w:val="32"/>
        </w:rPr>
        <w:t>自由式小轮车场地检查验收规范</w:t>
      </w:r>
    </w:p>
    <w:bookmarkEnd w:id="0"/>
    <w:p>
      <w:pPr>
        <w:pStyle w:val="16"/>
        <w:numPr>
          <w:ilvl w:val="0"/>
          <w:numId w:val="0"/>
        </w:numPr>
        <w:spacing w:before="312" w:after="312" w:line="520" w:lineRule="exact"/>
        <w:ind w:firstLine="560" w:firstLineChars="200"/>
        <w:rPr>
          <w:rFonts w:ascii="仿宋" w:hAnsi="仿宋" w:eastAsia="仿宋"/>
          <w:sz w:val="28"/>
          <w:szCs w:val="28"/>
        </w:rPr>
      </w:pPr>
      <w:bookmarkStart w:id="1" w:name="_Toc500269208"/>
      <w:bookmarkStart w:id="2" w:name="_Toc500268399"/>
      <w:bookmarkStart w:id="3" w:name="_Toc500241190"/>
      <w:r>
        <w:rPr>
          <w:rFonts w:hint="eastAsia" w:ascii="仿宋" w:hAnsi="仿宋" w:eastAsia="仿宋"/>
          <w:sz w:val="28"/>
          <w:szCs w:val="28"/>
        </w:rPr>
        <w:t>一、范 围</w:t>
      </w:r>
      <w:bookmarkEnd w:id="1"/>
      <w:bookmarkEnd w:id="2"/>
      <w:bookmarkEnd w:id="3"/>
    </w:p>
    <w:p>
      <w:pPr>
        <w:pStyle w:val="13"/>
        <w:spacing w:line="520" w:lineRule="exact"/>
        <w:ind w:firstLine="560"/>
        <w:rPr>
          <w:rFonts w:ascii="仿宋" w:hAnsi="仿宋" w:eastAsia="仿宋"/>
          <w:sz w:val="28"/>
          <w:szCs w:val="28"/>
        </w:rPr>
      </w:pPr>
      <w:r>
        <w:rPr>
          <w:rFonts w:hint="eastAsia" w:ascii="仿宋" w:hAnsi="仿宋" w:eastAsia="仿宋"/>
          <w:sz w:val="28"/>
          <w:szCs w:val="28"/>
        </w:rPr>
        <w:t>自由式小轮车的全称为BMX</w:t>
      </w:r>
      <w:r>
        <w:rPr>
          <w:rFonts w:ascii="仿宋" w:hAnsi="仿宋" w:eastAsia="仿宋"/>
          <w:sz w:val="28"/>
          <w:szCs w:val="28"/>
        </w:rPr>
        <w:t xml:space="preserve"> </w:t>
      </w:r>
      <w:r>
        <w:rPr>
          <w:rFonts w:hint="eastAsia" w:ascii="仿宋" w:hAnsi="仿宋" w:eastAsia="仿宋"/>
          <w:sz w:val="28"/>
          <w:szCs w:val="28"/>
        </w:rPr>
        <w:t>Freestyle。2017年6月国际奥委会全会通过自由式小轮车项目进入2020年东京奥运会，设男子、女子组各一枚金牌。国际自行车联盟（以下简称：UCI）竞赛规则将自由式小轮车场地称为“公园（Park）”，对比赛规则、比赛场地规格作了规定。</w:t>
      </w:r>
    </w:p>
    <w:p>
      <w:pPr>
        <w:pStyle w:val="13"/>
        <w:spacing w:line="520" w:lineRule="exact"/>
        <w:ind w:firstLine="560"/>
        <w:jc w:val="left"/>
        <w:rPr>
          <w:rFonts w:ascii="仿宋" w:hAnsi="仿宋" w:eastAsia="仿宋"/>
          <w:sz w:val="28"/>
          <w:szCs w:val="28"/>
        </w:rPr>
      </w:pPr>
      <w:r>
        <w:rPr>
          <w:rFonts w:hint="eastAsia" w:ascii="仿宋" w:hAnsi="仿宋" w:eastAsia="仿宋"/>
          <w:sz w:val="28"/>
          <w:szCs w:val="28"/>
        </w:rPr>
        <w:t>（一）主要定位：</w:t>
      </w:r>
    </w:p>
    <w:p>
      <w:pPr>
        <w:pStyle w:val="13"/>
        <w:spacing w:line="520" w:lineRule="exact"/>
        <w:ind w:firstLine="560"/>
        <w:rPr>
          <w:rFonts w:ascii="仿宋" w:hAnsi="仿宋" w:eastAsia="仿宋"/>
          <w:sz w:val="28"/>
          <w:szCs w:val="28"/>
        </w:rPr>
      </w:pPr>
      <w:r>
        <w:rPr>
          <w:rFonts w:hint="eastAsia" w:ascii="仿宋" w:hAnsi="仿宋" w:eastAsia="仿宋"/>
          <w:sz w:val="28"/>
          <w:szCs w:val="28"/>
        </w:rPr>
        <w:t>适用于由中央集中彩票公益金支持建设的自由式小轮车运动全民健身设施的验收。</w:t>
      </w:r>
    </w:p>
    <w:p>
      <w:pPr>
        <w:pStyle w:val="13"/>
        <w:spacing w:line="520" w:lineRule="exact"/>
        <w:ind w:firstLine="0" w:firstLineChars="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（二）</w:t>
      </w:r>
      <w:bookmarkStart w:id="4" w:name="_Toc500269209"/>
      <w:bookmarkStart w:id="5" w:name="_Toc500268400"/>
      <w:bookmarkStart w:id="6" w:name="_Toc500241191"/>
      <w:r>
        <w:rPr>
          <w:rFonts w:hint="eastAsia" w:ascii="仿宋" w:hAnsi="仿宋" w:eastAsia="仿宋"/>
          <w:sz w:val="28"/>
          <w:szCs w:val="28"/>
        </w:rPr>
        <w:t>需遵守的文件</w:t>
      </w:r>
      <w:bookmarkEnd w:id="4"/>
      <w:bookmarkEnd w:id="5"/>
      <w:bookmarkEnd w:id="6"/>
    </w:p>
    <w:p>
      <w:pPr>
        <w:pStyle w:val="13"/>
        <w:spacing w:line="520" w:lineRule="exact"/>
        <w:ind w:firstLine="560" w:firstLineChars="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GB 50209-2002《</w:t>
      </w:r>
      <w:r>
        <w:fldChar w:fldCharType="begin"/>
      </w:r>
      <w:r>
        <w:instrText xml:space="preserve"> HYPERLINK "http://www.so.com/s?q=%E5%BB%BA%E7%AD%91%E5%9C%B0%E9%9D%A2%E5%B7%A5%E7%A8%8B%E6%96%BD%E5%B7%A5%E8%B4%A8%E9%87%8F%E9%AA%8C%E6%94%B6%E8%A7%84%E8%8C%83&amp;ie=utf-8&amp;src=internal_wenda_recommend_textn" \t "https://wenda.so.com/q/_blank" </w:instrText>
      </w:r>
      <w:r>
        <w:fldChar w:fldCharType="separate"/>
      </w:r>
      <w:r>
        <w:rPr>
          <w:rStyle w:val="9"/>
          <w:rFonts w:hint="eastAsia" w:ascii="仿宋" w:hAnsi="仿宋" w:eastAsia="仿宋" w:cs="仿宋"/>
          <w:color w:val="auto"/>
          <w:sz w:val="28"/>
          <w:szCs w:val="28"/>
          <w:u w:val="none"/>
          <w:shd w:val="clear" w:color="auto" w:fill="FFFFFF"/>
        </w:rPr>
        <w:t>建筑地面工程施工质量验收规范</w:t>
      </w:r>
      <w:r>
        <w:rPr>
          <w:rStyle w:val="9"/>
          <w:rFonts w:hint="eastAsia" w:ascii="仿宋" w:hAnsi="仿宋" w:eastAsia="仿宋" w:cs="仿宋"/>
          <w:color w:val="auto"/>
          <w:sz w:val="28"/>
          <w:szCs w:val="28"/>
          <w:u w:val="none"/>
          <w:shd w:val="clear" w:color="auto" w:fill="FFFFFF"/>
        </w:rPr>
        <w:fldChar w:fldCharType="end"/>
      </w:r>
      <w:r>
        <w:rPr>
          <w:rFonts w:hint="eastAsia" w:ascii="仿宋" w:hAnsi="仿宋" w:eastAsia="仿宋" w:cs="仿宋"/>
          <w:color w:val="333333"/>
          <w:sz w:val="28"/>
          <w:szCs w:val="28"/>
          <w:shd w:val="clear" w:color="auto" w:fill="FFFFFF"/>
        </w:rPr>
        <w:t>》第5章中有关</w:t>
      </w:r>
      <w:r>
        <w:fldChar w:fldCharType="begin"/>
      </w:r>
      <w:r>
        <w:instrText xml:space="preserve"> HYPERLINK "http://www.so.com/s?q=%E6%B0%B4%E6%B3%A5%E6%B7%B7%E5%87%9D%E5%9C%9F&amp;ie=utf-8&amp;src=internal_wenda_recommend_textn" \t "https://wenda.so.com/q/_blank" </w:instrText>
      </w:r>
      <w:r>
        <w:fldChar w:fldCharType="separate"/>
      </w:r>
      <w:r>
        <w:rPr>
          <w:rStyle w:val="9"/>
          <w:rFonts w:hint="eastAsia" w:ascii="仿宋" w:hAnsi="仿宋" w:eastAsia="仿宋" w:cs="仿宋"/>
          <w:color w:val="auto"/>
          <w:sz w:val="28"/>
          <w:szCs w:val="28"/>
          <w:u w:val="none"/>
          <w:shd w:val="clear" w:color="auto" w:fill="FFFFFF"/>
        </w:rPr>
        <w:t>水泥混凝土</w:t>
      </w:r>
      <w:r>
        <w:rPr>
          <w:rStyle w:val="9"/>
          <w:rFonts w:hint="eastAsia" w:ascii="仿宋" w:hAnsi="仿宋" w:eastAsia="仿宋" w:cs="仿宋"/>
          <w:color w:val="auto"/>
          <w:sz w:val="28"/>
          <w:szCs w:val="28"/>
          <w:u w:val="none"/>
          <w:shd w:val="clear" w:color="auto" w:fill="FFFFFF"/>
        </w:rPr>
        <w:fldChar w:fldCharType="end"/>
      </w:r>
      <w:r>
        <w:rPr>
          <w:rFonts w:hint="eastAsia" w:ascii="仿宋" w:hAnsi="仿宋" w:eastAsia="仿宋" w:cs="仿宋"/>
          <w:sz w:val="28"/>
          <w:szCs w:val="28"/>
          <w:shd w:val="clear" w:color="auto" w:fill="FFFFFF"/>
        </w:rPr>
        <w:t>(含</w:t>
      </w:r>
      <w:r>
        <w:fldChar w:fldCharType="begin"/>
      </w:r>
      <w:r>
        <w:instrText xml:space="preserve"> HYPERLINK "http://www.so.com/s?q=%E7%BB%86%E7%9F%B3%E6%B7%B7%E5%87%9D%E5%9C%9F&amp;ie=utf-8&amp;src=internal_wenda_recommend_textn" \t "https://wenda.so.com/q/_blank" </w:instrText>
      </w:r>
      <w:r>
        <w:fldChar w:fldCharType="separate"/>
      </w:r>
      <w:r>
        <w:rPr>
          <w:rStyle w:val="9"/>
          <w:rFonts w:hint="eastAsia" w:ascii="仿宋" w:hAnsi="仿宋" w:eastAsia="仿宋" w:cs="仿宋"/>
          <w:color w:val="auto"/>
          <w:sz w:val="28"/>
          <w:szCs w:val="28"/>
          <w:u w:val="none"/>
          <w:shd w:val="clear" w:color="auto" w:fill="FFFFFF"/>
        </w:rPr>
        <w:t>细石混凝土</w:t>
      </w:r>
      <w:r>
        <w:rPr>
          <w:rStyle w:val="9"/>
          <w:rFonts w:hint="eastAsia" w:ascii="仿宋" w:hAnsi="仿宋" w:eastAsia="仿宋" w:cs="仿宋"/>
          <w:color w:val="auto"/>
          <w:sz w:val="28"/>
          <w:szCs w:val="28"/>
          <w:u w:val="none"/>
          <w:shd w:val="clear" w:color="auto" w:fill="FFFFFF"/>
        </w:rPr>
        <w:fldChar w:fldCharType="end"/>
      </w:r>
      <w:r>
        <w:rPr>
          <w:rFonts w:hint="eastAsia" w:ascii="仿宋" w:hAnsi="仿宋" w:eastAsia="仿宋" w:cs="仿宋"/>
          <w:sz w:val="28"/>
          <w:szCs w:val="28"/>
          <w:shd w:val="clear" w:color="auto" w:fill="FFFFFF"/>
        </w:rPr>
        <w:t>)</w:t>
      </w:r>
      <w:r>
        <w:fldChar w:fldCharType="begin"/>
      </w:r>
      <w:r>
        <w:instrText xml:space="preserve"> HYPERLINK "http://www.so.com/s?q=%E9%9D%A2%E5%B1%82&amp;ie=utf-8&amp;src=internal_wenda_recommend_textn" \t "https://wenda.so.com/q/_blank" </w:instrText>
      </w:r>
      <w:r>
        <w:fldChar w:fldCharType="separate"/>
      </w:r>
      <w:r>
        <w:rPr>
          <w:rStyle w:val="9"/>
          <w:rFonts w:hint="eastAsia" w:ascii="仿宋" w:hAnsi="仿宋" w:eastAsia="仿宋" w:cs="仿宋"/>
          <w:color w:val="auto"/>
          <w:sz w:val="28"/>
          <w:szCs w:val="28"/>
          <w:u w:val="none"/>
          <w:shd w:val="clear" w:color="auto" w:fill="FFFFFF"/>
        </w:rPr>
        <w:t>面层</w:t>
      </w:r>
      <w:r>
        <w:rPr>
          <w:rStyle w:val="9"/>
          <w:rFonts w:hint="eastAsia" w:ascii="仿宋" w:hAnsi="仿宋" w:eastAsia="仿宋" w:cs="仿宋"/>
          <w:color w:val="auto"/>
          <w:sz w:val="28"/>
          <w:szCs w:val="28"/>
          <w:u w:val="none"/>
          <w:shd w:val="clear" w:color="auto" w:fill="FFFFFF"/>
        </w:rPr>
        <w:fldChar w:fldCharType="end"/>
      </w:r>
      <w:r>
        <w:rPr>
          <w:rFonts w:hint="eastAsia" w:ascii="仿宋" w:hAnsi="仿宋" w:eastAsia="仿宋" w:cs="仿宋"/>
          <w:color w:val="333333"/>
          <w:sz w:val="28"/>
          <w:szCs w:val="28"/>
          <w:shd w:val="clear" w:color="auto" w:fill="FFFFFF"/>
        </w:rPr>
        <w:t>相关验收的内容。</w:t>
      </w:r>
    </w:p>
    <w:p>
      <w:pPr>
        <w:pStyle w:val="13"/>
        <w:spacing w:line="520" w:lineRule="exact"/>
        <w:ind w:firstLine="560"/>
        <w:rPr>
          <w:rFonts w:ascii="仿宋" w:hAnsi="仿宋" w:eastAsia="仿宋"/>
          <w:sz w:val="28"/>
          <w:szCs w:val="28"/>
        </w:rPr>
      </w:pPr>
      <w:r>
        <w:rPr>
          <w:rFonts w:hint="eastAsia" w:ascii="仿宋" w:hAnsi="仿宋" w:eastAsia="仿宋"/>
          <w:sz w:val="28"/>
          <w:szCs w:val="28"/>
        </w:rPr>
        <w:t>UCI</w:t>
      </w:r>
      <w:r>
        <w:rPr>
          <w:rFonts w:ascii="仿宋" w:hAnsi="仿宋" w:eastAsia="仿宋"/>
          <w:sz w:val="28"/>
          <w:szCs w:val="28"/>
        </w:rPr>
        <w:t xml:space="preserve"> </w:t>
      </w:r>
      <w:r>
        <w:rPr>
          <w:rFonts w:hint="eastAsia" w:ascii="仿宋" w:hAnsi="仿宋" w:eastAsia="仿宋"/>
          <w:sz w:val="28"/>
          <w:szCs w:val="28"/>
        </w:rPr>
        <w:t>章程与规则中对于自由式小轮车场地的最新规定条文。</w:t>
      </w:r>
    </w:p>
    <w:p>
      <w:pPr>
        <w:pStyle w:val="16"/>
        <w:numPr>
          <w:ilvl w:val="255"/>
          <w:numId w:val="0"/>
        </w:numPr>
        <w:spacing w:before="312" w:after="312" w:line="520" w:lineRule="exact"/>
        <w:ind w:left="560"/>
        <w:rPr>
          <w:rFonts w:ascii="仿宋" w:hAnsi="仿宋" w:eastAsia="仿宋"/>
          <w:sz w:val="28"/>
          <w:szCs w:val="28"/>
        </w:rPr>
      </w:pPr>
      <w:bookmarkStart w:id="7" w:name="_Toc500241192"/>
      <w:bookmarkEnd w:id="7"/>
      <w:r>
        <w:rPr>
          <w:rFonts w:hint="eastAsia" w:ascii="仿宋" w:hAnsi="仿宋" w:eastAsia="仿宋"/>
          <w:sz w:val="28"/>
          <w:szCs w:val="28"/>
        </w:rPr>
        <w:t>二、场地主体设施</w:t>
      </w:r>
    </w:p>
    <w:p>
      <w:pPr>
        <w:spacing w:line="520" w:lineRule="exact"/>
        <w:ind w:firstLine="560" w:firstLineChars="200"/>
        <w:rPr>
          <w:rFonts w:ascii="仿宋" w:hAnsi="仿宋" w:eastAsia="仿宋"/>
          <w:sz w:val="28"/>
          <w:szCs w:val="28"/>
        </w:rPr>
      </w:pPr>
      <w:bookmarkStart w:id="8" w:name="_Hlk515389850"/>
      <w:r>
        <w:rPr>
          <w:rFonts w:hint="eastAsia" w:ascii="仿宋" w:hAnsi="仿宋" w:eastAsia="仿宋"/>
          <w:sz w:val="28"/>
          <w:szCs w:val="28"/>
        </w:rPr>
        <w:t>按照UCI规则</w:t>
      </w:r>
      <w:r>
        <w:rPr>
          <w:rFonts w:hint="eastAsia" w:ascii="仿宋" w:hAnsi="仿宋" w:eastAsia="仿宋" w:cs="仿宋"/>
          <w:sz w:val="28"/>
          <w:szCs w:val="28"/>
        </w:rPr>
        <w:t>第七章-竞赛设施和比赛场地的要求进行设计与施工（并需留意UCI的最新更新内容）。场地须</w:t>
      </w:r>
      <w:r>
        <w:rPr>
          <w:rFonts w:hint="eastAsia" w:ascii="仿宋" w:hAnsi="仿宋" w:eastAsia="仿宋"/>
          <w:sz w:val="28"/>
          <w:szCs w:val="28"/>
        </w:rPr>
        <w:t>由具备相关资质的检测机构对场地进行检测，并出具检测报告，检测报告应至少包含对以下各项的检测评估。</w:t>
      </w:r>
    </w:p>
    <w:bookmarkEnd w:id="8"/>
    <w:p>
      <w:pPr>
        <w:pStyle w:val="17"/>
        <w:numPr>
          <w:ilvl w:val="0"/>
          <w:numId w:val="0"/>
        </w:numPr>
        <w:spacing w:beforeLines="0" w:afterLines="0"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自由式小轮车场地分为</w:t>
      </w:r>
      <w:r>
        <w:rPr>
          <w:rFonts w:hint="eastAsia" w:ascii="仿宋" w:hAnsi="仿宋" w:eastAsia="仿宋" w:cs="仿宋"/>
          <w:sz w:val="28"/>
          <w:szCs w:val="28"/>
        </w:rPr>
        <w:t>平地比赛设施和公园比赛设施</w:t>
      </w:r>
      <w:bookmarkStart w:id="9" w:name="_GoBack"/>
      <w:r>
        <w:rPr>
          <w:rFonts w:hint="eastAsia" w:ascii="仿宋" w:hAnsi="仿宋" w:eastAsia="仿宋" w:cs="仿宋"/>
          <w:sz w:val="28"/>
          <w:szCs w:val="28"/>
          <w:lang w:val="en-US" w:eastAsia="zh-CN"/>
        </w:rPr>
        <w:t>。</w:t>
      </w:r>
      <w:bookmarkEnd w:id="9"/>
    </w:p>
    <w:p>
      <w:pPr>
        <w:pStyle w:val="15"/>
        <w:numPr>
          <w:ilvl w:val="255"/>
          <w:numId w:val="0"/>
        </w:numPr>
        <w:spacing w:before="156" w:after="156" w:line="520" w:lineRule="exact"/>
        <w:ind w:firstLine="560" w:firstLineChars="200"/>
        <w:rPr>
          <w:rFonts w:eastAsia="仿宋"/>
        </w:rPr>
      </w:pPr>
      <w:r>
        <w:rPr>
          <w:rFonts w:hint="eastAsia" w:ascii="仿宋" w:hAnsi="仿宋" w:eastAsia="仿宋"/>
          <w:sz w:val="28"/>
          <w:szCs w:val="28"/>
        </w:rPr>
        <w:t>（一）公园（Park）比赛设施基本要求</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cs="仿宋"/>
          <w:sz w:val="28"/>
          <w:szCs w:val="28"/>
        </w:rPr>
        <w:t>1、进行公园比赛的场地，必须至少有15米宽和25米长。此外，场地的宽度和长度不得大于60米。</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2、场地四周必须有至少2米的安全区，骑手或自行车可以从安全区内被弹出。除持证工作人员及参赛者外，任何人均不得在安全区内逗留。</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cs="仿宋"/>
          <w:sz w:val="28"/>
          <w:szCs w:val="28"/>
        </w:rPr>
        <w:t>3、场地可以是在同一平面（地平面）或延展和分成不同平面。但是，障碍物所在的每一个平面的基础面或地面区域必须是平坦的，必须用足够坚硬的材料来建造，以使骑手保持骑行的动力。</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cs="仿宋"/>
          <w:sz w:val="28"/>
          <w:szCs w:val="28"/>
        </w:rPr>
        <w:t>在高于地平面的任何一个平面上，所有周边边缘都需要有一个安全屏障或等效的防坠落保护。这样的屏障同时也可以是整个场地的外边缘。建造外边缘屏障的方式须不妨碍车手充分利用场地，又不会使他们的安全受到威胁。</w:t>
      </w:r>
    </w:p>
    <w:p>
      <w:pPr>
        <w:widowControl/>
        <w:numPr>
          <w:ilvl w:val="0"/>
          <w:numId w:val="3"/>
        </w:numPr>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障碍是指场地内任何一处高于其所在平面的物体，如果有场地的墙壁，也可以包括在内。</w:t>
      </w:r>
    </w:p>
    <w:p>
      <w:pPr>
        <w:widowControl/>
        <w:numPr>
          <w:ilvl w:val="255"/>
          <w:numId w:val="0"/>
        </w:numPr>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场地的障碍主要包括Quarter pipe（四分之一弧面类）、Jump(Fly) box（飞台类）、Grind box（碾磨台类）、Hand rail(滑杆类）、Hip（外突式转角）、Roll in（曲面高台）、Spine（人字坡）、Mini ramp （迷你U型管）、Wall（墙类）、Sub box（附加盒子)等单元组成。场地必须至少包含3个障碍，高度以不超过1.6米为原则。如条件许可，可以建海绵池和软着陆设备。</w:t>
      </w:r>
    </w:p>
    <w:p>
      <w:pPr>
        <w:numPr>
          <w:ilvl w:val="255"/>
          <w:numId w:val="0"/>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障碍如果被设置在高于地面的平面上，则必须至少有2米宽，同时必须留有2米的安全区。</w:t>
      </w:r>
    </w:p>
    <w:p>
      <w:pPr>
        <w:pStyle w:val="17"/>
        <w:numPr>
          <w:ilvl w:val="0"/>
          <w:numId w:val="0"/>
        </w:numPr>
        <w:spacing w:beforeLines="0" w:afterLines="0" w:line="520" w:lineRule="exact"/>
        <w:ind w:firstLine="560" w:firstLineChars="200"/>
        <w:rPr>
          <w:rFonts w:ascii="仿宋" w:hAnsi="仿宋" w:eastAsia="仿宋"/>
          <w:sz w:val="28"/>
          <w:szCs w:val="28"/>
        </w:rPr>
      </w:pPr>
      <w:r>
        <w:rPr>
          <w:rFonts w:hint="eastAsia" w:ascii="仿宋" w:hAnsi="仿宋" w:eastAsia="仿宋" w:cs="仿宋"/>
          <w:sz w:val="28"/>
          <w:szCs w:val="28"/>
        </w:rPr>
        <w:t>如上所述，这些障碍也可能是相互连接的。</w:t>
      </w:r>
    </w:p>
    <w:p>
      <w:pPr>
        <w:spacing w:line="520" w:lineRule="exact"/>
        <w:ind w:firstLine="560" w:firstLineChars="200"/>
        <w:rPr>
          <w:rFonts w:ascii="仿宋" w:hAnsi="仿宋" w:eastAsia="仿宋" w:cs="仿宋"/>
          <w:sz w:val="28"/>
          <w:szCs w:val="28"/>
        </w:rPr>
      </w:pPr>
      <w:r>
        <w:rPr>
          <w:rFonts w:hint="eastAsia" w:ascii="仿宋" w:hAnsi="仿宋" w:eastAsia="仿宋"/>
          <w:sz w:val="28"/>
          <w:szCs w:val="28"/>
        </w:rPr>
        <w:t>5、</w:t>
      </w:r>
      <w:r>
        <w:rPr>
          <w:rFonts w:hint="eastAsia" w:ascii="仿宋" w:hAnsi="仿宋" w:eastAsia="仿宋" w:cs="仿宋"/>
          <w:sz w:val="28"/>
          <w:szCs w:val="28"/>
        </w:rPr>
        <w:t>坡道以及它们之间的地面，必须有足够坚硬和均匀的表面，为自行车轮胎提供良好的牵引力，如采用钢板、木材或混凝土。无论使用何种材料，这样的表面不能有任何缺陷，如间隙、凸起或洞孔。</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sz w:val="28"/>
          <w:szCs w:val="28"/>
        </w:rPr>
        <w:t>6、</w:t>
      </w:r>
      <w:r>
        <w:rPr>
          <w:rFonts w:hint="eastAsia" w:ascii="仿宋" w:hAnsi="仿宋" w:eastAsia="仿宋" w:cs="仿宋"/>
          <w:sz w:val="28"/>
          <w:szCs w:val="28"/>
        </w:rPr>
        <w:t>场地旁边应设置一个运动员区域，比赛时只有持有相关证件的人员或者注册比赛的运动员才能够进入该区域。</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cs="仿宋"/>
          <w:sz w:val="28"/>
          <w:szCs w:val="28"/>
        </w:rPr>
        <w:t>7、通常场地及其周围的基础设施必须以保护运动员的安全的方式建造。同时，场地和安全区，包括所有障碍不能有锋利的边缘。同样，在这些区域内也不允许有可能造成冲击风险的物体。</w:t>
      </w:r>
    </w:p>
    <w:p>
      <w:pPr>
        <w:pStyle w:val="17"/>
        <w:numPr>
          <w:ilvl w:val="0"/>
          <w:numId w:val="0"/>
        </w:numPr>
        <w:spacing w:beforeLines="0" w:afterLines="0" w:line="520" w:lineRule="exact"/>
        <w:ind w:firstLine="560" w:firstLineChars="200"/>
        <w:rPr>
          <w:rFonts w:ascii="仿宋" w:hAnsi="仿宋" w:eastAsia="仿宋" w:cs="仿宋"/>
          <w:sz w:val="28"/>
          <w:szCs w:val="28"/>
        </w:rPr>
      </w:pPr>
      <w:r>
        <w:rPr>
          <w:rFonts w:hint="eastAsia" w:ascii="仿宋" w:hAnsi="仿宋" w:eastAsia="仿宋" w:cs="仿宋"/>
          <w:sz w:val="28"/>
          <w:szCs w:val="28"/>
        </w:rPr>
        <w:t>（二）平地比赛设施的基本要求</w:t>
      </w:r>
    </w:p>
    <w:p>
      <w:pPr>
        <w:spacing w:line="520" w:lineRule="exact"/>
        <w:ind w:firstLine="560" w:firstLineChars="200"/>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进行BMX平地比赛的场地或“平地区”必须至少有10米宽和10米长，以便允许所有类型的平地骑行。平地区域的宽度和长度不得超过25米。</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须有1米的安全区将观众与平地场地区域的边缘分隔开。</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2、平地场地区域的骑行面必须是平坦的，而且是实心结构，没有明显的表面缺陷或障碍物，或者任何能使骑手在跌倒的情况下容易造成伤害的东西。</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如果平地场地是油漆的，任何使用的油漆必须是防滑的，不应减少阻力。平地区域的表面必须为骑手提供良好的摩擦力；必须避免光滑的材料(例如，光滑的油漆或地毯)。一般来说，强烈推荐深颜色以避免眩光。</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平地区域的边界应明显清晰地标明。</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4、只有持有效证件的人员和注册参赛运动员才能进入运动员区域，运动员区域需在平地区域旁边。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5、建议在靠近平地场地区域设置一个至少6米宽和6米长的热身区域。</w:t>
      </w:r>
    </w:p>
    <w:p>
      <w:pPr>
        <w:pStyle w:val="17"/>
        <w:numPr>
          <w:ilvl w:val="0"/>
          <w:numId w:val="0"/>
        </w:numPr>
        <w:spacing w:beforeLines="0" w:afterLines="0" w:line="520" w:lineRule="exact"/>
        <w:ind w:firstLine="560" w:firstLineChars="200"/>
        <w:rPr>
          <w:rFonts w:ascii="仿宋" w:hAnsi="仿宋" w:eastAsia="仿宋"/>
          <w:sz w:val="28"/>
          <w:szCs w:val="28"/>
        </w:rPr>
      </w:pPr>
      <w:r>
        <w:rPr>
          <w:rFonts w:hint="eastAsia" w:ascii="仿宋" w:hAnsi="仿宋" w:eastAsia="仿宋"/>
          <w:sz w:val="28"/>
          <w:szCs w:val="28"/>
        </w:rPr>
        <w:t>（三）公园场地建在室内外均可。</w:t>
      </w:r>
    </w:p>
    <w:p>
      <w:pPr>
        <w:spacing w:before="312" w:after="312" w:line="520" w:lineRule="exact"/>
        <w:ind w:firstLine="560" w:firstLineChars="200"/>
        <w:rPr>
          <w:rFonts w:ascii="仿宋" w:hAnsi="仿宋" w:eastAsia="仿宋"/>
          <w:sz w:val="28"/>
          <w:szCs w:val="28"/>
        </w:rPr>
      </w:pPr>
      <w:r>
        <w:rPr>
          <w:rFonts w:hint="eastAsia" w:ascii="仿宋" w:hAnsi="仿宋" w:eastAsia="仿宋"/>
          <w:sz w:val="28"/>
          <w:szCs w:val="28"/>
        </w:rPr>
        <w:t>三、配套设施</w:t>
      </w:r>
    </w:p>
    <w:p>
      <w:pPr>
        <w:pStyle w:val="16"/>
        <w:numPr>
          <w:ilvl w:val="0"/>
          <w:numId w:val="0"/>
        </w:numPr>
        <w:spacing w:before="0" w:beforeLines="0" w:after="0" w:afterLines="0" w:line="520" w:lineRule="exact"/>
        <w:ind w:firstLine="560" w:firstLineChars="200"/>
        <w:rPr>
          <w:rFonts w:hint="eastAsia" w:ascii="仿宋" w:hAnsi="仿宋" w:eastAsia="仿宋"/>
          <w:sz w:val="28"/>
          <w:szCs w:val="28"/>
        </w:rPr>
      </w:pPr>
      <w:r>
        <w:rPr>
          <w:rFonts w:hint="eastAsia" w:ascii="仿宋" w:hAnsi="仿宋" w:eastAsia="仿宋"/>
          <w:sz w:val="28"/>
          <w:szCs w:val="28"/>
        </w:rPr>
        <w:t>（一）可根据需要设立用于场地设施日常管理的用房，配置小轮车及器材的修理工具。</w:t>
      </w:r>
    </w:p>
    <w:p>
      <w:pPr>
        <w:pStyle w:val="16"/>
        <w:numPr>
          <w:ilvl w:val="0"/>
          <w:numId w:val="0"/>
        </w:numPr>
        <w:spacing w:before="0" w:beforeLines="0" w:after="0" w:afterLines="0" w:line="520" w:lineRule="exact"/>
        <w:ind w:firstLine="560" w:firstLineChars="200"/>
        <w:rPr>
          <w:rFonts w:ascii="仿宋" w:hAnsi="仿宋" w:eastAsia="仿宋"/>
          <w:sz w:val="28"/>
          <w:szCs w:val="28"/>
        </w:rPr>
      </w:pPr>
      <w:r>
        <w:rPr>
          <w:rFonts w:hint="eastAsia" w:ascii="仿宋" w:hAnsi="仿宋" w:eastAsia="仿宋"/>
          <w:sz w:val="28"/>
          <w:szCs w:val="28"/>
        </w:rPr>
        <w:t>（二）可根据需要设医护室、更衣室、淋浴室、卫生间、广播音响系统、灯光照明系统等。</w:t>
      </w:r>
    </w:p>
    <w:p>
      <w:pPr>
        <w:pStyle w:val="13"/>
        <w:spacing w:line="520" w:lineRule="exact"/>
        <w:ind w:firstLine="560"/>
        <w:rPr>
          <w:rFonts w:ascii="仿宋" w:hAnsi="仿宋" w:eastAsia="仿宋"/>
          <w:sz w:val="28"/>
          <w:szCs w:val="28"/>
        </w:rPr>
      </w:pPr>
      <w:r>
        <w:rPr>
          <w:rFonts w:hint="eastAsia" w:ascii="仿宋" w:hAnsi="仿宋" w:eastAsia="仿宋"/>
          <w:sz w:val="28"/>
          <w:szCs w:val="28"/>
        </w:rPr>
        <w:t>（三）可设置管理用房，用于场地设施的日常管理。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（四）场地及周边的配套房间、过道等公共区域应有防滑措施。</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四、场地环境要求</w:t>
      </w:r>
    </w:p>
    <w:p>
      <w:pPr>
        <w:pStyle w:val="25"/>
        <w:numPr>
          <w:ilvl w:val="0"/>
          <w:numId w:val="0"/>
        </w:numPr>
        <w:spacing w:line="520" w:lineRule="exact"/>
        <w:ind w:firstLine="560" w:firstLineChars="200"/>
        <w:rPr>
          <w:rFonts w:ascii="仿宋" w:hAnsi="仿宋" w:eastAsia="仿宋"/>
          <w:sz w:val="28"/>
          <w:szCs w:val="28"/>
        </w:rPr>
      </w:pPr>
      <w:r>
        <w:rPr>
          <w:rFonts w:hint="eastAsia" w:ascii="仿宋" w:hAnsi="仿宋" w:eastAsia="仿宋"/>
          <w:sz w:val="28"/>
          <w:szCs w:val="28"/>
        </w:rPr>
        <w:t>（一）应设置醒目的安全要求及警示标识。</w:t>
      </w:r>
    </w:p>
    <w:p>
      <w:pPr>
        <w:pStyle w:val="25"/>
        <w:numPr>
          <w:ilvl w:val="0"/>
          <w:numId w:val="0"/>
        </w:numPr>
        <w:spacing w:line="520" w:lineRule="exact"/>
        <w:ind w:firstLine="560" w:firstLineChars="200"/>
        <w:rPr>
          <w:rFonts w:ascii="仿宋" w:hAnsi="仿宋" w:eastAsia="仿宋"/>
          <w:sz w:val="28"/>
          <w:szCs w:val="28"/>
        </w:rPr>
      </w:pPr>
      <w:r>
        <w:rPr>
          <w:rFonts w:hint="eastAsia" w:ascii="仿宋" w:hAnsi="仿宋" w:eastAsia="仿宋"/>
          <w:sz w:val="28"/>
          <w:szCs w:val="28"/>
        </w:rPr>
        <w:t>（二）应在场地区域及周边安装视频安防监控系统。</w:t>
      </w:r>
    </w:p>
    <w:p>
      <w:pPr>
        <w:pStyle w:val="25"/>
        <w:numPr>
          <w:ilvl w:val="0"/>
          <w:numId w:val="0"/>
        </w:numPr>
        <w:spacing w:line="520" w:lineRule="exact"/>
        <w:ind w:firstLine="560" w:firstLineChars="200"/>
        <w:rPr>
          <w:rFonts w:ascii="仿宋" w:hAnsi="仿宋" w:eastAsia="仿宋"/>
          <w:sz w:val="28"/>
          <w:szCs w:val="28"/>
        </w:rPr>
      </w:pPr>
      <w:r>
        <w:rPr>
          <w:rFonts w:hint="eastAsia" w:ascii="仿宋" w:hAnsi="仿宋" w:eastAsia="仿宋"/>
          <w:sz w:val="28"/>
          <w:szCs w:val="28"/>
        </w:rPr>
        <w:t>五、验收评定</w:t>
      </w:r>
    </w:p>
    <w:p>
      <w:pPr>
        <w:pStyle w:val="25"/>
        <w:numPr>
          <w:ilvl w:val="0"/>
          <w:numId w:val="0"/>
        </w:numPr>
        <w:spacing w:line="520" w:lineRule="exact"/>
        <w:ind w:firstLine="560" w:firstLineChars="200"/>
        <w:rPr>
          <w:rFonts w:ascii="仿宋" w:hAnsi="仿宋" w:eastAsia="仿宋"/>
          <w:sz w:val="28"/>
          <w:szCs w:val="28"/>
        </w:rPr>
      </w:pPr>
      <w:r>
        <w:rPr>
          <w:rFonts w:hint="eastAsia" w:ascii="仿宋" w:hAnsi="仿宋" w:eastAsia="仿宋"/>
          <w:sz w:val="28"/>
          <w:szCs w:val="28"/>
        </w:rPr>
        <w:t>场地建成后，除了专业的验收部门及专家进行检查验收外，可以请专业运动员对场地使用功能进行测试。</w:t>
      </w:r>
    </w:p>
    <w:p>
      <w:pPr>
        <w:pStyle w:val="25"/>
        <w:numPr>
          <w:ilvl w:val="0"/>
          <w:numId w:val="0"/>
        </w:numPr>
        <w:spacing w:line="560" w:lineRule="exact"/>
        <w:rPr>
          <w:rFonts w:ascii="仿宋" w:hAnsi="仿宋" w:eastAsia="仿宋"/>
        </w:rPr>
      </w:pPr>
    </w:p>
    <w:sectPr>
      <w:footerReference r:id="rId3" w:type="default"/>
      <w:footerReference r:id="rId4" w:type="even"/>
      <w:pgSz w:w="11906" w:h="16838"/>
      <w:pgMar w:top="1213" w:right="1684" w:bottom="1213" w:left="168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C6A0"/>
    <w:multiLevelType w:val="singleLevel"/>
    <w:tmpl w:val="A195C6A0"/>
    <w:lvl w:ilvl="0" w:tentative="0">
      <w:start w:val="4"/>
      <w:numFmt w:val="decimal"/>
      <w:suff w:val="nothing"/>
      <w:lvlText w:val="%1、"/>
      <w:lvlJc w:val="left"/>
    </w:lvl>
  </w:abstractNum>
  <w:abstractNum w:abstractNumId="1">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7"/>
      <w:suff w:val="nothing"/>
      <w:lvlText w:val="%1.%2.%3　"/>
      <w:lvlJc w:val="left"/>
      <w:pPr>
        <w:ind w:left="425"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69"/>
    <w:rsid w:val="00001E17"/>
    <w:rsid w:val="0001223E"/>
    <w:rsid w:val="00050FB0"/>
    <w:rsid w:val="00081F5E"/>
    <w:rsid w:val="000854AA"/>
    <w:rsid w:val="000B6B85"/>
    <w:rsid w:val="000E14E6"/>
    <w:rsid w:val="000E4C5B"/>
    <w:rsid w:val="000F1515"/>
    <w:rsid w:val="00101204"/>
    <w:rsid w:val="0013798A"/>
    <w:rsid w:val="001B067C"/>
    <w:rsid w:val="001B22CD"/>
    <w:rsid w:val="001B4442"/>
    <w:rsid w:val="001D42E1"/>
    <w:rsid w:val="001F5AAD"/>
    <w:rsid w:val="001F688D"/>
    <w:rsid w:val="00201858"/>
    <w:rsid w:val="00207FEC"/>
    <w:rsid w:val="00240236"/>
    <w:rsid w:val="00243E2F"/>
    <w:rsid w:val="00247C36"/>
    <w:rsid w:val="002538FF"/>
    <w:rsid w:val="00262080"/>
    <w:rsid w:val="0026358C"/>
    <w:rsid w:val="002668A1"/>
    <w:rsid w:val="00285EE4"/>
    <w:rsid w:val="002B097A"/>
    <w:rsid w:val="002D6D31"/>
    <w:rsid w:val="002F30D7"/>
    <w:rsid w:val="00325C57"/>
    <w:rsid w:val="003516F6"/>
    <w:rsid w:val="003633CC"/>
    <w:rsid w:val="00372F2C"/>
    <w:rsid w:val="00395B9B"/>
    <w:rsid w:val="003A1EB9"/>
    <w:rsid w:val="003B62AF"/>
    <w:rsid w:val="003D158D"/>
    <w:rsid w:val="0040522E"/>
    <w:rsid w:val="00420D92"/>
    <w:rsid w:val="00421D8D"/>
    <w:rsid w:val="00431B89"/>
    <w:rsid w:val="00443EA3"/>
    <w:rsid w:val="00455F39"/>
    <w:rsid w:val="00494708"/>
    <w:rsid w:val="004E7533"/>
    <w:rsid w:val="004F188D"/>
    <w:rsid w:val="00514694"/>
    <w:rsid w:val="005569C2"/>
    <w:rsid w:val="00575B28"/>
    <w:rsid w:val="005954F1"/>
    <w:rsid w:val="005A2431"/>
    <w:rsid w:val="005C5589"/>
    <w:rsid w:val="005E108F"/>
    <w:rsid w:val="005E7CF3"/>
    <w:rsid w:val="005E7EF8"/>
    <w:rsid w:val="00606823"/>
    <w:rsid w:val="006121E2"/>
    <w:rsid w:val="006411B8"/>
    <w:rsid w:val="006443A8"/>
    <w:rsid w:val="006702E2"/>
    <w:rsid w:val="00683DF9"/>
    <w:rsid w:val="00690728"/>
    <w:rsid w:val="006B6266"/>
    <w:rsid w:val="006C0A07"/>
    <w:rsid w:val="006C19E2"/>
    <w:rsid w:val="006C458D"/>
    <w:rsid w:val="006D4D1A"/>
    <w:rsid w:val="006E1332"/>
    <w:rsid w:val="00704180"/>
    <w:rsid w:val="007342A4"/>
    <w:rsid w:val="00784E5B"/>
    <w:rsid w:val="007939B3"/>
    <w:rsid w:val="007A1607"/>
    <w:rsid w:val="007A18DE"/>
    <w:rsid w:val="007D0953"/>
    <w:rsid w:val="007D6FE4"/>
    <w:rsid w:val="007E1373"/>
    <w:rsid w:val="007E16B5"/>
    <w:rsid w:val="0082696C"/>
    <w:rsid w:val="008308C7"/>
    <w:rsid w:val="00841F3A"/>
    <w:rsid w:val="008844B0"/>
    <w:rsid w:val="008D7AC8"/>
    <w:rsid w:val="008F43DA"/>
    <w:rsid w:val="00911BA1"/>
    <w:rsid w:val="00940D9F"/>
    <w:rsid w:val="00951EA4"/>
    <w:rsid w:val="00974CC1"/>
    <w:rsid w:val="0098386D"/>
    <w:rsid w:val="009A5691"/>
    <w:rsid w:val="009B7379"/>
    <w:rsid w:val="009E5986"/>
    <w:rsid w:val="00A04ECB"/>
    <w:rsid w:val="00A1549B"/>
    <w:rsid w:val="00A3500C"/>
    <w:rsid w:val="00A4640D"/>
    <w:rsid w:val="00A96397"/>
    <w:rsid w:val="00AA19B5"/>
    <w:rsid w:val="00AB3ECD"/>
    <w:rsid w:val="00AD19CB"/>
    <w:rsid w:val="00AF769E"/>
    <w:rsid w:val="00B01148"/>
    <w:rsid w:val="00B31027"/>
    <w:rsid w:val="00B500D1"/>
    <w:rsid w:val="00B52123"/>
    <w:rsid w:val="00B755BA"/>
    <w:rsid w:val="00B949C4"/>
    <w:rsid w:val="00BE70F2"/>
    <w:rsid w:val="00C10BC2"/>
    <w:rsid w:val="00C17F02"/>
    <w:rsid w:val="00C47CB2"/>
    <w:rsid w:val="00C7280D"/>
    <w:rsid w:val="00CA0241"/>
    <w:rsid w:val="00CA04AA"/>
    <w:rsid w:val="00CA4797"/>
    <w:rsid w:val="00CB48B2"/>
    <w:rsid w:val="00CE3F44"/>
    <w:rsid w:val="00D604D2"/>
    <w:rsid w:val="00D61830"/>
    <w:rsid w:val="00D71441"/>
    <w:rsid w:val="00DA16BC"/>
    <w:rsid w:val="00DA2169"/>
    <w:rsid w:val="00DA217F"/>
    <w:rsid w:val="00DA2AC5"/>
    <w:rsid w:val="00DB4855"/>
    <w:rsid w:val="00DC4857"/>
    <w:rsid w:val="00DF61F4"/>
    <w:rsid w:val="00E33274"/>
    <w:rsid w:val="00E73321"/>
    <w:rsid w:val="00E82D45"/>
    <w:rsid w:val="00EC2040"/>
    <w:rsid w:val="00EE2A91"/>
    <w:rsid w:val="00F2454D"/>
    <w:rsid w:val="00F61F2E"/>
    <w:rsid w:val="00F623F8"/>
    <w:rsid w:val="00FB6EFF"/>
    <w:rsid w:val="00FD41DE"/>
    <w:rsid w:val="00FF2B5F"/>
    <w:rsid w:val="0D2D4D4F"/>
    <w:rsid w:val="0D6D5ED8"/>
    <w:rsid w:val="1100629C"/>
    <w:rsid w:val="12372DFF"/>
    <w:rsid w:val="14E85833"/>
    <w:rsid w:val="18C4621D"/>
    <w:rsid w:val="1B9853AA"/>
    <w:rsid w:val="1CBC7EA3"/>
    <w:rsid w:val="20D209DA"/>
    <w:rsid w:val="22CD1F6B"/>
    <w:rsid w:val="24100AAD"/>
    <w:rsid w:val="2514734F"/>
    <w:rsid w:val="2617060E"/>
    <w:rsid w:val="266866A1"/>
    <w:rsid w:val="26EC1FA5"/>
    <w:rsid w:val="27B36251"/>
    <w:rsid w:val="28DE42AD"/>
    <w:rsid w:val="2C07467D"/>
    <w:rsid w:val="2C361221"/>
    <w:rsid w:val="2C772E0E"/>
    <w:rsid w:val="2CBF3932"/>
    <w:rsid w:val="2F156AB7"/>
    <w:rsid w:val="3435603B"/>
    <w:rsid w:val="35C33FF2"/>
    <w:rsid w:val="38252955"/>
    <w:rsid w:val="3ABD08DC"/>
    <w:rsid w:val="43BB2B34"/>
    <w:rsid w:val="4858660C"/>
    <w:rsid w:val="491D00BF"/>
    <w:rsid w:val="4B871738"/>
    <w:rsid w:val="4C05614A"/>
    <w:rsid w:val="4D1A3975"/>
    <w:rsid w:val="513A12FC"/>
    <w:rsid w:val="523F6A77"/>
    <w:rsid w:val="5496530C"/>
    <w:rsid w:val="576B2112"/>
    <w:rsid w:val="5C0773EE"/>
    <w:rsid w:val="5F6673F2"/>
    <w:rsid w:val="604D0C0A"/>
    <w:rsid w:val="65125A6D"/>
    <w:rsid w:val="6BB84440"/>
    <w:rsid w:val="6C7B538B"/>
    <w:rsid w:val="6D594223"/>
    <w:rsid w:val="6DD71316"/>
    <w:rsid w:val="713C76E3"/>
    <w:rsid w:val="71B030A1"/>
    <w:rsid w:val="72120D14"/>
    <w:rsid w:val="7ED2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0"/>
    <w:qFormat/>
    <w:uiPriority w:val="1"/>
    <w:pPr>
      <w:ind w:left="1547"/>
      <w:jc w:val="left"/>
    </w:pPr>
    <w:rPr>
      <w:rFonts w:ascii="Arial" w:hAnsi="Arial" w:eastAsia="Arial"/>
      <w:kern w:val="0"/>
      <w:sz w:val="22"/>
      <w:lang w:eastAsia="en-US"/>
    </w:rPr>
  </w:style>
  <w:style w:type="paragraph" w:styleId="3">
    <w:name w:val="Balloon Text"/>
    <w:basedOn w:val="1"/>
    <w:link w:val="3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8"/>
    <w:qFormat/>
    <w:uiPriority w:val="0"/>
    <w:pPr>
      <w:spacing w:before="240" w:after="60"/>
      <w:jc w:val="center"/>
      <w:outlineLvl w:val="0"/>
    </w:pPr>
    <w:rPr>
      <w:rFonts w:ascii="Cambria" w:hAnsi="Cambria" w:eastAsia="宋体" w:cs="Times New Roman"/>
      <w:b/>
      <w:bCs/>
      <w:sz w:val="32"/>
      <w:szCs w:val="32"/>
    </w:r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1">
    <w:name w:val="页眉 Char"/>
    <w:basedOn w:val="7"/>
    <w:link w:val="5"/>
    <w:qFormat/>
    <w:uiPriority w:val="99"/>
    <w:rPr>
      <w:sz w:val="18"/>
      <w:szCs w:val="18"/>
    </w:rPr>
  </w:style>
  <w:style w:type="character" w:customStyle="1" w:styleId="12">
    <w:name w:val="页脚 Char1"/>
    <w:basedOn w:val="7"/>
    <w:link w:val="4"/>
    <w:qFormat/>
    <w:uiPriority w:val="99"/>
    <w:rPr>
      <w:sz w:val="18"/>
      <w:szCs w:val="18"/>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段 Char"/>
    <w:link w:val="13"/>
    <w:qFormat/>
    <w:uiPriority w:val="0"/>
    <w:rPr>
      <w:rFonts w:ascii="宋体" w:hAnsi="Times New Roman" w:eastAsia="宋体" w:cs="Times New Roman"/>
      <w:kern w:val="0"/>
      <w:szCs w:val="20"/>
    </w:rPr>
  </w:style>
  <w:style w:type="paragraph" w:customStyle="1" w:styleId="15">
    <w:name w:val="一级条标题"/>
    <w:next w:val="13"/>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6">
    <w:name w:val="章标题"/>
    <w:next w:val="13"/>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二级条标题"/>
    <w:basedOn w:val="15"/>
    <w:next w:val="13"/>
    <w:qFormat/>
    <w:uiPriority w:val="99"/>
    <w:pPr>
      <w:numPr>
        <w:ilvl w:val="2"/>
      </w:numPr>
      <w:spacing w:before="50" w:after="50"/>
      <w:ind w:left="4678"/>
      <w:outlineLvl w:val="3"/>
    </w:pPr>
  </w:style>
  <w:style w:type="paragraph" w:customStyle="1" w:styleId="18">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9">
    <w:name w:val="三级条标题"/>
    <w:basedOn w:val="17"/>
    <w:next w:val="13"/>
    <w:qFormat/>
    <w:uiPriority w:val="99"/>
    <w:pPr>
      <w:numPr>
        <w:ilvl w:val="3"/>
      </w:numPr>
      <w:outlineLvl w:val="4"/>
    </w:pPr>
  </w:style>
  <w:style w:type="paragraph" w:customStyle="1" w:styleId="20">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1">
    <w:name w:val="四级条标题"/>
    <w:basedOn w:val="19"/>
    <w:next w:val="13"/>
    <w:qFormat/>
    <w:uiPriority w:val="99"/>
    <w:pPr>
      <w:numPr>
        <w:ilvl w:val="4"/>
      </w:numPr>
      <w:outlineLvl w:val="5"/>
    </w:pPr>
  </w:style>
  <w:style w:type="paragraph" w:customStyle="1" w:styleId="22">
    <w:name w:val="五级条标题"/>
    <w:basedOn w:val="21"/>
    <w:next w:val="13"/>
    <w:qFormat/>
    <w:uiPriority w:val="99"/>
    <w:pPr>
      <w:numPr>
        <w:ilvl w:val="5"/>
      </w:numPr>
      <w:outlineLvl w:val="6"/>
    </w:p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5">
    <w:name w:val="二级无"/>
    <w:basedOn w:val="17"/>
    <w:qFormat/>
    <w:uiPriority w:val="0"/>
    <w:pPr>
      <w:spacing w:beforeLines="0" w:afterLines="0"/>
    </w:pPr>
    <w:rPr>
      <w:rFonts w:ascii="宋体" w:eastAsia="宋体"/>
    </w:rPr>
  </w:style>
  <w:style w:type="character" w:customStyle="1" w:styleId="26">
    <w:name w:val="页脚 Char"/>
    <w:qFormat/>
    <w:uiPriority w:val="99"/>
    <w:rPr>
      <w:kern w:val="2"/>
      <w:sz w:val="18"/>
    </w:rPr>
  </w:style>
  <w:style w:type="character" w:customStyle="1" w:styleId="27">
    <w:name w:val="标题 字符"/>
    <w:basedOn w:val="7"/>
    <w:qFormat/>
    <w:uiPriority w:val="10"/>
    <w:rPr>
      <w:rFonts w:asciiTheme="majorHAnsi" w:hAnsiTheme="majorHAnsi" w:eastAsiaTheme="majorEastAsia" w:cstheme="majorBidi"/>
      <w:b/>
      <w:bCs/>
      <w:sz w:val="32"/>
      <w:szCs w:val="32"/>
    </w:rPr>
  </w:style>
  <w:style w:type="character" w:customStyle="1" w:styleId="28">
    <w:name w:val="标题 Char"/>
    <w:link w:val="6"/>
    <w:qFormat/>
    <w:uiPriority w:val="0"/>
    <w:rPr>
      <w:rFonts w:ascii="Cambria" w:hAnsi="Cambria" w:eastAsia="宋体" w:cs="Times New Roman"/>
      <w:b/>
      <w:bCs/>
      <w:sz w:val="32"/>
      <w:szCs w:val="32"/>
    </w:rPr>
  </w:style>
  <w:style w:type="paragraph" w:styleId="29">
    <w:name w:val="List Paragraph"/>
    <w:basedOn w:val="1"/>
    <w:qFormat/>
    <w:uiPriority w:val="34"/>
    <w:pPr>
      <w:ind w:firstLine="420" w:firstLineChars="200"/>
    </w:pPr>
  </w:style>
  <w:style w:type="character" w:customStyle="1" w:styleId="30">
    <w:name w:val="正文文本 Char"/>
    <w:basedOn w:val="7"/>
    <w:link w:val="2"/>
    <w:qFormat/>
    <w:uiPriority w:val="1"/>
    <w:rPr>
      <w:rFonts w:ascii="Arial" w:hAnsi="Arial" w:eastAsia="Arial"/>
      <w:kern w:val="0"/>
      <w:sz w:val="22"/>
      <w:lang w:eastAsia="en-US"/>
    </w:rPr>
  </w:style>
  <w:style w:type="character" w:customStyle="1" w:styleId="3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F5EA5-2585-43AD-8403-2C88808D50A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24</TotalTime>
  <ScaleCrop>false</ScaleCrop>
  <LinksUpToDate>false</LinksUpToDate>
  <CharactersWithSpaces>2670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2018-07-25T02:02:00Z</dcterms:created>
  <dc:creator>余 建新</dc:creator>
  <cp:lastModifiedBy>qts-huangw</cp:lastModifiedBy>
  <cp:lastPrinted>2018-07-19T09:16:00Z</cp:lastPrinted>
  <dcterms:modified xsi:type="dcterms:W3CDTF">2019-01-11T07:09:27Z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