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142" w:type="dxa"/>
        <w:tblInd w:w="-34" w:type="dxa"/>
        <w:tblLayout w:type="fixed"/>
        <w:tblLook w:val="04A0" w:firstRow="1" w:lastRow="0" w:firstColumn="1" w:lastColumn="0" w:noHBand="0" w:noVBand="1"/>
      </w:tblPr>
      <w:tblGrid>
        <w:gridCol w:w="891"/>
        <w:gridCol w:w="13"/>
        <w:gridCol w:w="200"/>
        <w:gridCol w:w="7031"/>
        <w:gridCol w:w="12"/>
        <w:gridCol w:w="1361"/>
        <w:gridCol w:w="60"/>
        <w:gridCol w:w="22"/>
        <w:gridCol w:w="1344"/>
        <w:gridCol w:w="218"/>
        <w:gridCol w:w="1208"/>
        <w:gridCol w:w="215"/>
        <w:gridCol w:w="22"/>
        <w:gridCol w:w="1189"/>
        <w:gridCol w:w="356"/>
      </w:tblGrid>
      <w:tr w:rsidR="00603BB6" w:rsidRPr="0024596A" w:rsidTr="007C399A">
        <w:trPr>
          <w:trHeight w:val="405"/>
        </w:trPr>
        <w:tc>
          <w:tcPr>
            <w:tcW w:w="1104" w:type="dxa"/>
            <w:gridSpan w:val="3"/>
            <w:tcBorders>
              <w:top w:val="nil"/>
              <w:left w:val="nil"/>
              <w:bottom w:val="nil"/>
              <w:right w:val="nil"/>
            </w:tcBorders>
            <w:shd w:val="clear" w:color="auto" w:fill="auto"/>
            <w:noWrap/>
            <w:vAlign w:val="center"/>
            <w:hideMark/>
          </w:tcPr>
          <w:p w:rsidR="00603BB6" w:rsidRPr="00603BB6" w:rsidRDefault="00603BB6" w:rsidP="007D5A74">
            <w:pPr>
              <w:widowControl/>
              <w:rPr>
                <w:rFonts w:eastAsia="黑体"/>
                <w:color w:val="000000" w:themeColor="text1"/>
                <w:kern w:val="0"/>
                <w:sz w:val="32"/>
                <w:szCs w:val="32"/>
              </w:rPr>
            </w:pPr>
            <w:r w:rsidRPr="00603BB6">
              <w:rPr>
                <w:rFonts w:eastAsia="黑体" w:hint="eastAsia"/>
                <w:color w:val="000000" w:themeColor="text1"/>
                <w:kern w:val="0"/>
                <w:sz w:val="32"/>
                <w:szCs w:val="32"/>
              </w:rPr>
              <w:t>附件</w:t>
            </w:r>
            <w:r w:rsidRPr="00603BB6">
              <w:rPr>
                <w:rFonts w:eastAsia="黑体"/>
                <w:color w:val="000000" w:themeColor="text1"/>
                <w:kern w:val="0"/>
                <w:sz w:val="32"/>
                <w:szCs w:val="32"/>
              </w:rPr>
              <w:t>3</w:t>
            </w:r>
          </w:p>
        </w:tc>
        <w:tc>
          <w:tcPr>
            <w:tcW w:w="8404"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1426"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1426"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1426"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c>
          <w:tcPr>
            <w:tcW w:w="356" w:type="dxa"/>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黑体"/>
                <w:color w:val="000000" w:themeColor="text1"/>
                <w:kern w:val="0"/>
                <w:sz w:val="22"/>
              </w:rPr>
            </w:pPr>
          </w:p>
        </w:tc>
      </w:tr>
      <w:tr w:rsidR="00603BB6" w:rsidRPr="0024596A" w:rsidTr="007C399A">
        <w:trPr>
          <w:trHeight w:val="570"/>
        </w:trPr>
        <w:tc>
          <w:tcPr>
            <w:tcW w:w="14142" w:type="dxa"/>
            <w:gridSpan w:val="15"/>
            <w:tcBorders>
              <w:top w:val="nil"/>
              <w:left w:val="nil"/>
              <w:bottom w:val="nil"/>
              <w:right w:val="nil"/>
            </w:tcBorders>
            <w:shd w:val="clear" w:color="auto" w:fill="auto"/>
            <w:noWrap/>
            <w:vAlign w:val="center"/>
            <w:hideMark/>
          </w:tcPr>
          <w:p w:rsidR="00603BB6" w:rsidRPr="00603BB6" w:rsidRDefault="00603BB6" w:rsidP="007D5A74">
            <w:pPr>
              <w:widowControl/>
              <w:jc w:val="center"/>
              <w:rPr>
                <w:rFonts w:eastAsia="方正小标宋简体"/>
                <w:color w:val="000000" w:themeColor="text1"/>
                <w:kern w:val="0"/>
                <w:sz w:val="44"/>
                <w:szCs w:val="44"/>
              </w:rPr>
            </w:pPr>
            <w:r w:rsidRPr="00603BB6">
              <w:rPr>
                <w:rFonts w:eastAsia="方正小标宋简体"/>
                <w:color w:val="000000" w:themeColor="text1"/>
                <w:kern w:val="0"/>
                <w:sz w:val="44"/>
                <w:szCs w:val="44"/>
              </w:rPr>
              <w:t>2019</w:t>
            </w:r>
            <w:r w:rsidRPr="00603BB6">
              <w:rPr>
                <w:rFonts w:eastAsia="方正小标宋简体" w:hint="eastAsia"/>
                <w:color w:val="000000" w:themeColor="text1"/>
                <w:kern w:val="0"/>
                <w:sz w:val="44"/>
                <w:szCs w:val="44"/>
              </w:rPr>
              <w:t>年医疗器械使用质量管理自查表</w:t>
            </w:r>
          </w:p>
        </w:tc>
      </w:tr>
      <w:tr w:rsidR="00603BB6" w:rsidRPr="0024596A" w:rsidTr="007C399A">
        <w:trPr>
          <w:trHeight w:val="375"/>
        </w:trPr>
        <w:tc>
          <w:tcPr>
            <w:tcW w:w="10934" w:type="dxa"/>
            <w:gridSpan w:val="9"/>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单位名称（盖章）：</w:t>
            </w:r>
            <w:r w:rsidRPr="00603BB6">
              <w:rPr>
                <w:rFonts w:eastAsia="仿宋_GB2312"/>
                <w:b/>
                <w:bCs/>
                <w:color w:val="000000" w:themeColor="text1"/>
                <w:kern w:val="0"/>
                <w:sz w:val="28"/>
                <w:szCs w:val="28"/>
              </w:rPr>
              <w:t xml:space="preserve">                                            </w:t>
            </w:r>
          </w:p>
        </w:tc>
        <w:tc>
          <w:tcPr>
            <w:tcW w:w="1426"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237"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1545" w:type="dxa"/>
            <w:gridSpan w:val="2"/>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r>
      <w:tr w:rsidR="00603BB6" w:rsidRPr="0024596A" w:rsidTr="007C399A">
        <w:trPr>
          <w:trHeight w:val="375"/>
        </w:trPr>
        <w:tc>
          <w:tcPr>
            <w:tcW w:w="12575" w:type="dxa"/>
            <w:gridSpan w:val="12"/>
            <w:tcBorders>
              <w:top w:val="nil"/>
              <w:left w:val="nil"/>
              <w:bottom w:val="nil"/>
              <w:right w:val="nil"/>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自查人员：</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自查日期：</w:t>
            </w:r>
          </w:p>
        </w:tc>
        <w:tc>
          <w:tcPr>
            <w:tcW w:w="1567" w:type="dxa"/>
            <w:gridSpan w:val="3"/>
            <w:tcBorders>
              <w:top w:val="nil"/>
              <w:left w:val="nil"/>
              <w:bottom w:val="nil"/>
              <w:right w:val="nil"/>
            </w:tcBorders>
            <w:shd w:val="clear" w:color="auto" w:fill="auto"/>
            <w:noWrap/>
            <w:vAlign w:val="center"/>
            <w:hideMark/>
          </w:tcPr>
          <w:p w:rsidR="00603BB6" w:rsidRPr="00603BB6" w:rsidRDefault="00603BB6" w:rsidP="007D5A74">
            <w:pPr>
              <w:widowControl/>
              <w:jc w:val="left"/>
              <w:rPr>
                <w:color w:val="000000" w:themeColor="text1"/>
                <w:kern w:val="0"/>
                <w:sz w:val="22"/>
              </w:rPr>
            </w:pPr>
          </w:p>
        </w:tc>
      </w:tr>
      <w:tr w:rsidR="00603BB6" w:rsidRPr="0024596A" w:rsidTr="007C399A">
        <w:trPr>
          <w:trHeight w:val="73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39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医疗器械使用单位是否配备与其规模相适应的医疗器械质量管理机构或者质量管理人员。</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1409"/>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2</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医疗器械质量管理机构或者质量管理人员是否承担本单位使用医疗器械的质量管理责任。</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5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bookmarkStart w:id="0" w:name="RANGE!A9"/>
            <w:r w:rsidRPr="00603BB6">
              <w:rPr>
                <w:color w:val="000000" w:themeColor="text1"/>
                <w:kern w:val="0"/>
                <w:sz w:val="28"/>
                <w:szCs w:val="28"/>
              </w:rPr>
              <w:t>3</w:t>
            </w:r>
            <w:bookmarkEnd w:id="0"/>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医疗器械使用单位是否建立覆盖质量管理全过程的使用质量管理制度。</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0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12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4</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医疗器械使用单位发现所使用的医疗器械发生不良事件或者可疑不良事件的，是否按照医疗器械不良事件监测的有关规定报告并处理。</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1875"/>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5</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医疗器械使用单位是否对医疗器械采购实行统一管理，由其指定的部门或者人员统一采购医疗器械，其他部门或者人员不得自行采购。</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02"/>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6</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从具有资质的医疗器械生产经营企业购进医疗器械，索取、查验供货者资质、医疗器械注册证或者备案凭证等证明文件。对购进的医疗器械应当验明产品合格证明文件，并按规定进行验收。对有特殊储运要求的医疗器械还应当核实储运条件是否符合产品说明书和标签标示的要求。</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560"/>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3251"/>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7</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医疗器械使用单位是否真实、完整、准确地记录进货查验情况。进货查验记录是否保存至医疗器械规定使用期限届满后</w:t>
            </w:r>
            <w:r w:rsidRPr="00603BB6">
              <w:rPr>
                <w:rFonts w:eastAsia="仿宋_GB2312"/>
                <w:color w:val="000000" w:themeColor="text1"/>
                <w:kern w:val="0"/>
                <w:sz w:val="28"/>
                <w:szCs w:val="28"/>
              </w:rPr>
              <w:t>2</w:t>
            </w:r>
            <w:r w:rsidRPr="00603BB6">
              <w:rPr>
                <w:rFonts w:eastAsia="仿宋_GB2312" w:hint="eastAsia"/>
                <w:color w:val="000000" w:themeColor="text1"/>
                <w:kern w:val="0"/>
                <w:sz w:val="28"/>
                <w:szCs w:val="28"/>
              </w:rPr>
              <w:t>年或者使用终止后</w:t>
            </w:r>
            <w:r w:rsidRPr="00603BB6">
              <w:rPr>
                <w:rFonts w:eastAsia="仿宋_GB2312"/>
                <w:color w:val="000000" w:themeColor="text1"/>
                <w:kern w:val="0"/>
                <w:sz w:val="28"/>
                <w:szCs w:val="28"/>
              </w:rPr>
              <w:t>2</w:t>
            </w:r>
            <w:r w:rsidRPr="00603BB6">
              <w:rPr>
                <w:rFonts w:eastAsia="仿宋_GB2312" w:hint="eastAsia"/>
                <w:color w:val="000000" w:themeColor="text1"/>
                <w:kern w:val="0"/>
                <w:sz w:val="28"/>
                <w:szCs w:val="28"/>
              </w:rPr>
              <w:t>年。大型医疗器械进货查验记录是否保存至医疗器械规定使用期限届满后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年或者使用终止后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年；植入性医疗器械进货查验记录是否永久保存。</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5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8</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医疗器械使用单位是否妥善保存购入第三类医疗器械的原始资料，确保信息具有可追溯性。</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419"/>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9</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贮存医疗器械的场所、设施及条件是否与医疗器械品种、数量相适应，符合产品说明书、标签标示的要求及使用安全、有效的需要；对温度、湿度等环境条件有特殊要求的，是否监测和记录贮存区域的温度、湿度等数据。</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844"/>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551"/>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10</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医疗器械使用单位应当按照贮存条件、医疗器械有效期限等要求对贮存的医疗器械进行定期检查并记录。</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1838"/>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11</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医疗器械使用单位不得购进和使用未依法注册或者备案、无合格证明文件以及过期、失效、淘汰的医疗器械。</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3530"/>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12</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应当建立医疗器械使用前质量检查制度。在使用医疗器械前，应当按照产品说明书的有关要求进行检查。使用无菌医疗器械前，应当检查直接接触医疗器械的包装及其有效期限。包装破损、标示不清、超过有效期限或者可能影响使用安全、有效的，不得使用。</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691"/>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112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13</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医疗器械使用单位对植入和介入类医疗器械是否建立使用记录，植入性医疗器械使用记录永久保存，相关资料是否纳入信息化管理系统，确保信息可追溯。</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2625"/>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14</w:t>
            </w:r>
          </w:p>
        </w:tc>
        <w:tc>
          <w:tcPr>
            <w:tcW w:w="7256" w:type="dxa"/>
            <w:gridSpan w:val="4"/>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医疗器械使用单位是否建立医疗器械维护维修管理制度。对需要定期检查、检验、校准、保养、维护的医疗器械，是否按照产品说明书的要求进行检查、检验、校准、保养、维护并记录，及时进行分析、评估，确保医疗器械处于良好状态。</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841"/>
        </w:trPr>
        <w:tc>
          <w:tcPr>
            <w:tcW w:w="891" w:type="dxa"/>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center"/>
              <w:rPr>
                <w:color w:val="000000" w:themeColor="text1"/>
                <w:kern w:val="0"/>
                <w:sz w:val="28"/>
                <w:szCs w:val="28"/>
              </w:rPr>
            </w:pPr>
            <w:r w:rsidRPr="00603BB6">
              <w:rPr>
                <w:color w:val="000000" w:themeColor="text1"/>
                <w:kern w:val="0"/>
                <w:sz w:val="28"/>
                <w:szCs w:val="28"/>
              </w:rPr>
              <w:t>15</w:t>
            </w:r>
          </w:p>
        </w:tc>
        <w:tc>
          <w:tcPr>
            <w:tcW w:w="7256" w:type="dxa"/>
            <w:gridSpan w:val="4"/>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对使用期限长的大型医疗器械，是否逐台建立使用档案，记录其使用、维护等情况。记录保存期限是否符合不得少于医疗器械规定使用期限届满后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年或者使用终止后</w:t>
            </w:r>
            <w:r w:rsidRPr="00603BB6">
              <w:rPr>
                <w:rFonts w:eastAsia="仿宋_GB2312"/>
                <w:color w:val="000000" w:themeColor="text1"/>
                <w:kern w:val="0"/>
                <w:sz w:val="28"/>
                <w:szCs w:val="28"/>
              </w:rPr>
              <w:t>5</w:t>
            </w:r>
            <w:r w:rsidRPr="00603BB6">
              <w:rPr>
                <w:rFonts w:eastAsia="仿宋_GB2312" w:hint="eastAsia"/>
                <w:color w:val="000000" w:themeColor="text1"/>
                <w:kern w:val="0"/>
                <w:sz w:val="28"/>
                <w:szCs w:val="28"/>
              </w:rPr>
              <w:t>年的要求。</w:t>
            </w:r>
          </w:p>
        </w:tc>
        <w:tc>
          <w:tcPr>
            <w:tcW w:w="1421"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nil"/>
              <w:left w:val="nil"/>
              <w:bottom w:val="single" w:sz="4" w:space="0" w:color="auto"/>
              <w:right w:val="single" w:sz="4" w:space="0" w:color="auto"/>
            </w:tcBorders>
            <w:shd w:val="clear" w:color="auto" w:fill="auto"/>
            <w:vAlign w:val="center"/>
            <w:hideMark/>
          </w:tcPr>
          <w:p w:rsidR="00603BB6" w:rsidRPr="00603BB6" w:rsidRDefault="00603BB6" w:rsidP="007D5A74">
            <w:pPr>
              <w:widowControl/>
              <w:rPr>
                <w:color w:val="000000" w:themeColor="text1"/>
                <w:kern w:val="0"/>
                <w:sz w:val="28"/>
                <w:szCs w:val="28"/>
              </w:rPr>
            </w:pPr>
            <w:r w:rsidRPr="00603BB6">
              <w:rPr>
                <w:rFonts w:hint="eastAsia"/>
                <w:color w:val="000000" w:themeColor="text1"/>
                <w:kern w:val="0"/>
                <w:sz w:val="28"/>
                <w:szCs w:val="28"/>
              </w:rPr>
              <w:t xml:space="preserve">　</w:t>
            </w: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rPr>
                <w:rFonts w:eastAsia="仿宋_GB2312"/>
                <w:color w:val="000000" w:themeColor="text1"/>
                <w:kern w:val="0"/>
                <w:sz w:val="28"/>
                <w:szCs w:val="28"/>
              </w:rPr>
            </w:pPr>
            <w:r w:rsidRPr="00603BB6">
              <w:rPr>
                <w:rFonts w:eastAsia="仿宋_GB2312" w:hint="eastAsia"/>
                <w:color w:val="000000" w:themeColor="text1"/>
                <w:kern w:val="0"/>
                <w:sz w:val="28"/>
                <w:szCs w:val="28"/>
              </w:rPr>
              <w:t xml:space="preserve">　</w:t>
            </w:r>
          </w:p>
        </w:tc>
      </w:tr>
      <w:tr w:rsidR="00603BB6" w:rsidRPr="0024596A" w:rsidTr="007C399A">
        <w:trPr>
          <w:trHeight w:val="702"/>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56" w:type="dxa"/>
            <w:gridSpan w:val="4"/>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21"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523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16</w:t>
            </w:r>
          </w:p>
        </w:tc>
        <w:tc>
          <w:tcPr>
            <w:tcW w:w="7243" w:type="dxa"/>
            <w:gridSpan w:val="3"/>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由医疗器械生产经营企业或者维修服务机构对医疗器械进行维护维修的，是否在合同中约定明确的质量要求、维修要求等相关事项，医疗器械使用单位是否在每次维护维修后索取并保存相关记录；医疗器械使用单位自行对医疗器械进行维护维修的，是否加强对从事医疗器械维护维修的技术人员的培训考核，并建立培训档案。</w:t>
            </w:r>
          </w:p>
        </w:tc>
        <w:tc>
          <w:tcPr>
            <w:tcW w:w="1421" w:type="dxa"/>
            <w:gridSpan w:val="2"/>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 xml:space="preserve">　</w:t>
            </w:r>
          </w:p>
        </w:tc>
        <w:tc>
          <w:tcPr>
            <w:tcW w:w="1584" w:type="dxa"/>
            <w:gridSpan w:val="3"/>
            <w:tcBorders>
              <w:top w:val="single" w:sz="4" w:space="0" w:color="auto"/>
              <w:left w:val="nil"/>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hint="eastAsia"/>
                <w:color w:val="000000" w:themeColor="text1"/>
                <w:kern w:val="0"/>
                <w:sz w:val="28"/>
                <w:szCs w:val="28"/>
              </w:rPr>
              <w:t xml:space="preserve">　</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hint="eastAsia"/>
                <w:color w:val="000000" w:themeColor="text1"/>
                <w:kern w:val="0"/>
                <w:sz w:val="28"/>
                <w:szCs w:val="28"/>
              </w:rPr>
              <w:t xml:space="preserve">　</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r>
      <w:tr w:rsidR="00603BB6" w:rsidRPr="0024596A" w:rsidTr="007C399A">
        <w:trPr>
          <w:trHeight w:val="375"/>
        </w:trPr>
        <w:tc>
          <w:tcPr>
            <w:tcW w:w="904" w:type="dxa"/>
            <w:gridSpan w:val="2"/>
            <w:tcBorders>
              <w:top w:val="nil"/>
              <w:left w:val="single" w:sz="4" w:space="0" w:color="auto"/>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17</w:t>
            </w:r>
          </w:p>
        </w:tc>
        <w:tc>
          <w:tcPr>
            <w:tcW w:w="7243" w:type="dxa"/>
            <w:gridSpan w:val="3"/>
            <w:tcBorders>
              <w:top w:val="nil"/>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医疗器械使用单位发现使用的医疗器械存在安全隐患的，是否立即停止使用，通知检修；经检修仍不能达到使用安全标准的，是否停止使用，并按照有关规定处置。</w:t>
            </w:r>
          </w:p>
        </w:tc>
        <w:tc>
          <w:tcPr>
            <w:tcW w:w="1421" w:type="dxa"/>
            <w:gridSpan w:val="2"/>
            <w:tcBorders>
              <w:top w:val="nil"/>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584" w:type="dxa"/>
            <w:gridSpan w:val="3"/>
            <w:tcBorders>
              <w:top w:val="nil"/>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single" w:sz="4" w:space="0" w:color="auto"/>
              <w:right w:val="single" w:sz="4" w:space="0" w:color="auto"/>
            </w:tcBorders>
            <w:shd w:val="clear" w:color="auto" w:fill="auto"/>
            <w:noWrap/>
            <w:vAlign w:val="center"/>
            <w:hideMark/>
          </w:tcPr>
          <w:p w:rsidR="00603BB6" w:rsidRPr="00603BB6" w:rsidRDefault="00603BB6" w:rsidP="007D5A74">
            <w:pPr>
              <w:widowControl/>
              <w:jc w:val="left"/>
              <w:rPr>
                <w:color w:val="000000" w:themeColor="text1"/>
                <w:kern w:val="0"/>
                <w:sz w:val="22"/>
              </w:rPr>
            </w:pPr>
            <w:r w:rsidRPr="00603BB6">
              <w:rPr>
                <w:rFonts w:eastAsia="仿宋_GB2312" w:hint="eastAsia"/>
                <w:color w:val="000000" w:themeColor="text1"/>
                <w:kern w:val="0"/>
                <w:sz w:val="28"/>
                <w:szCs w:val="28"/>
              </w:rPr>
              <w:t xml:space="preserve">　</w:t>
            </w:r>
          </w:p>
        </w:tc>
      </w:tr>
      <w:tr w:rsidR="00603BB6" w:rsidRPr="0024596A" w:rsidTr="007C399A">
        <w:trPr>
          <w:trHeight w:val="37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lastRenderedPageBreak/>
              <w:t>序号</w:t>
            </w:r>
          </w:p>
        </w:tc>
        <w:tc>
          <w:tcPr>
            <w:tcW w:w="7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自查要点</w:t>
            </w:r>
          </w:p>
        </w:tc>
        <w:tc>
          <w:tcPr>
            <w:tcW w:w="14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自查情况</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原因分析</w:t>
            </w: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整改措施</w:t>
            </w: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center"/>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整改结果</w:t>
            </w:r>
          </w:p>
        </w:tc>
      </w:tr>
      <w:tr w:rsidR="00603BB6" w:rsidRPr="0024596A" w:rsidTr="007C399A">
        <w:trPr>
          <w:trHeight w:val="37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18</w:t>
            </w:r>
          </w:p>
        </w:tc>
        <w:tc>
          <w:tcPr>
            <w:tcW w:w="7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医疗器械使用单位之间转让在用医疗器械，转让方是否确保所转让的医疗器械安全、有效，并提供产品合法证明文件。转让双方是否签订协议，移交产品说明书、使用和维修记录档案复印件等资料，并经有资质的检验机构检验合格后方可转让。受让方是否进行查验，符合要求后使用。是否转让未依法注册或者备案、无合格证明文件或者检验不合格，以及过期、失效、淘汰的医疗器械。</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7C399A">
        <w:trPr>
          <w:trHeight w:val="375"/>
        </w:trPr>
        <w:tc>
          <w:tcPr>
            <w:tcW w:w="9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color w:val="000000" w:themeColor="text1"/>
                <w:kern w:val="0"/>
                <w:sz w:val="28"/>
                <w:szCs w:val="28"/>
              </w:rPr>
              <w:t>19</w:t>
            </w:r>
          </w:p>
        </w:tc>
        <w:tc>
          <w:tcPr>
            <w:tcW w:w="72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color w:val="000000" w:themeColor="text1"/>
                <w:kern w:val="0"/>
                <w:sz w:val="28"/>
                <w:szCs w:val="28"/>
              </w:rPr>
              <w:t>医疗器械使用单位接受医疗器械生产经营企业或者其他机构、个人捐赠医疗器械的，捐赠方是否提供医疗器械的相关合法证明文件，受赠方是否进行查验，符合要求后使用。是否捐赠未依法注册或者备案、无合格证明文件或者检验不合格，以及过期、失效、淘汰的医疗器械。</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single" w:sz="4" w:space="0" w:color="auto"/>
              <w:left w:val="nil"/>
              <w:bottom w:val="single" w:sz="4" w:space="0" w:color="auto"/>
              <w:right w:val="single" w:sz="4" w:space="0" w:color="auto"/>
            </w:tcBorders>
            <w:shd w:val="clear" w:color="auto" w:fill="auto"/>
            <w:noWrap/>
            <w:vAlign w:val="center"/>
          </w:tcPr>
          <w:p w:rsidR="00603BB6" w:rsidRPr="00603BB6" w:rsidRDefault="00603BB6" w:rsidP="007D5A74">
            <w:pPr>
              <w:widowControl/>
              <w:jc w:val="left"/>
              <w:rPr>
                <w:rFonts w:eastAsia="仿宋_GB2312"/>
                <w:color w:val="000000" w:themeColor="text1"/>
                <w:kern w:val="0"/>
                <w:sz w:val="28"/>
                <w:szCs w:val="28"/>
              </w:rPr>
            </w:pPr>
          </w:p>
        </w:tc>
      </w:tr>
      <w:tr w:rsidR="00603BB6" w:rsidRPr="0024596A" w:rsidTr="007C399A">
        <w:trPr>
          <w:trHeight w:val="375"/>
        </w:trPr>
        <w:tc>
          <w:tcPr>
            <w:tcW w:w="11152" w:type="dxa"/>
            <w:gridSpan w:val="10"/>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p>
        </w:tc>
        <w:tc>
          <w:tcPr>
            <w:tcW w:w="1423"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nil"/>
            </w:tcBorders>
            <w:shd w:val="clear" w:color="auto" w:fill="auto"/>
            <w:noWrap/>
            <w:vAlign w:val="center"/>
          </w:tcPr>
          <w:p w:rsidR="00603BB6" w:rsidRPr="00603BB6" w:rsidRDefault="00603BB6" w:rsidP="007D5A74">
            <w:pPr>
              <w:widowControl/>
              <w:jc w:val="left"/>
              <w:rPr>
                <w:color w:val="000000" w:themeColor="text1"/>
                <w:kern w:val="0"/>
                <w:sz w:val="22"/>
              </w:rPr>
            </w:pPr>
          </w:p>
        </w:tc>
      </w:tr>
      <w:tr w:rsidR="00603BB6" w:rsidRPr="0024596A" w:rsidTr="007C399A">
        <w:trPr>
          <w:trHeight w:val="375"/>
        </w:trPr>
        <w:tc>
          <w:tcPr>
            <w:tcW w:w="11152" w:type="dxa"/>
            <w:gridSpan w:val="10"/>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质量负责人签名：</w:t>
            </w:r>
            <w:r w:rsidRPr="00603BB6">
              <w:rPr>
                <w:rFonts w:eastAsia="仿宋_GB2312"/>
                <w:b/>
                <w:bCs/>
                <w:color w:val="000000" w:themeColor="text1"/>
                <w:kern w:val="0"/>
                <w:sz w:val="28"/>
                <w:szCs w:val="28"/>
              </w:rPr>
              <w:t xml:space="preserve">                                               </w:t>
            </w:r>
            <w:r w:rsidRPr="00603BB6">
              <w:rPr>
                <w:rFonts w:eastAsia="仿宋_GB2312" w:hint="eastAsia"/>
                <w:b/>
                <w:bCs/>
                <w:color w:val="000000" w:themeColor="text1"/>
                <w:kern w:val="0"/>
                <w:sz w:val="28"/>
                <w:szCs w:val="28"/>
              </w:rPr>
              <w:t>联系方式：</w:t>
            </w:r>
          </w:p>
        </w:tc>
        <w:tc>
          <w:tcPr>
            <w:tcW w:w="1423"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r w:rsidR="00603BB6" w:rsidRPr="0024596A" w:rsidTr="007C399A">
        <w:trPr>
          <w:trHeight w:val="375"/>
        </w:trPr>
        <w:tc>
          <w:tcPr>
            <w:tcW w:w="11152" w:type="dxa"/>
            <w:gridSpan w:val="10"/>
            <w:tcBorders>
              <w:top w:val="nil"/>
              <w:left w:val="nil"/>
              <w:bottom w:val="nil"/>
              <w:right w:val="nil"/>
            </w:tcBorders>
            <w:shd w:val="clear" w:color="auto" w:fill="auto"/>
            <w:noWrap/>
            <w:vAlign w:val="center"/>
          </w:tcPr>
          <w:p w:rsidR="00603BB6" w:rsidRPr="00603BB6" w:rsidRDefault="00603BB6" w:rsidP="007D5A74">
            <w:pPr>
              <w:widowControl/>
              <w:jc w:val="left"/>
              <w:rPr>
                <w:rFonts w:eastAsia="仿宋_GB2312"/>
                <w:b/>
                <w:bCs/>
                <w:color w:val="000000" w:themeColor="text1"/>
                <w:kern w:val="0"/>
                <w:sz w:val="28"/>
                <w:szCs w:val="28"/>
              </w:rPr>
            </w:pPr>
            <w:r w:rsidRPr="00603BB6">
              <w:rPr>
                <w:rFonts w:eastAsia="仿宋_GB2312" w:hint="eastAsia"/>
                <w:b/>
                <w:bCs/>
                <w:color w:val="000000" w:themeColor="text1"/>
                <w:kern w:val="0"/>
                <w:sz w:val="28"/>
                <w:szCs w:val="28"/>
              </w:rPr>
              <w:t>单位法定代表人或负责人签名：</w:t>
            </w:r>
            <w:r w:rsidRPr="00603BB6">
              <w:rPr>
                <w:rFonts w:eastAsia="仿宋_GB2312"/>
                <w:b/>
                <w:bCs/>
                <w:color w:val="000000" w:themeColor="text1"/>
                <w:kern w:val="0"/>
                <w:sz w:val="28"/>
                <w:szCs w:val="28"/>
              </w:rPr>
              <w:t xml:space="preserve">                               </w:t>
            </w:r>
            <w:r w:rsidR="001144B5">
              <w:rPr>
                <w:rFonts w:eastAsia="仿宋_GB2312" w:hint="eastAsia"/>
                <w:b/>
                <w:bCs/>
                <w:color w:val="000000" w:themeColor="text1"/>
                <w:kern w:val="0"/>
                <w:sz w:val="28"/>
                <w:szCs w:val="28"/>
              </w:rPr>
              <w:t xml:space="preserve">    </w:t>
            </w:r>
            <w:r w:rsidRPr="00603BB6">
              <w:rPr>
                <w:rFonts w:eastAsia="仿宋_GB2312" w:hint="eastAsia"/>
                <w:b/>
                <w:bCs/>
                <w:color w:val="000000" w:themeColor="text1"/>
                <w:kern w:val="0"/>
                <w:sz w:val="28"/>
                <w:szCs w:val="28"/>
              </w:rPr>
              <w:t>联系方式：</w:t>
            </w:r>
          </w:p>
        </w:tc>
        <w:tc>
          <w:tcPr>
            <w:tcW w:w="1423" w:type="dxa"/>
            <w:gridSpan w:val="2"/>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c>
          <w:tcPr>
            <w:tcW w:w="1567" w:type="dxa"/>
            <w:gridSpan w:val="3"/>
            <w:tcBorders>
              <w:top w:val="nil"/>
              <w:left w:val="nil"/>
              <w:bottom w:val="nil"/>
              <w:right w:val="nil"/>
            </w:tcBorders>
            <w:shd w:val="clear" w:color="auto" w:fill="auto"/>
            <w:noWrap/>
            <w:vAlign w:val="center"/>
          </w:tcPr>
          <w:p w:rsidR="00603BB6" w:rsidRPr="00603BB6" w:rsidRDefault="00603BB6" w:rsidP="007D5A74">
            <w:pPr>
              <w:widowControl/>
              <w:jc w:val="left"/>
              <w:rPr>
                <w:color w:val="000000" w:themeColor="text1"/>
                <w:kern w:val="0"/>
                <w:sz w:val="22"/>
              </w:rPr>
            </w:pPr>
          </w:p>
        </w:tc>
      </w:tr>
    </w:tbl>
    <w:p w:rsidR="00BA35D2" w:rsidRPr="00603BB6" w:rsidRDefault="00BA35D2" w:rsidP="00BA35D2">
      <w:pPr>
        <w:rPr>
          <w:rFonts w:hint="eastAsia"/>
          <w:color w:val="000000" w:themeColor="text1"/>
        </w:rPr>
      </w:pPr>
      <w:bookmarkStart w:id="1" w:name="_GoBack"/>
      <w:bookmarkEnd w:id="1"/>
    </w:p>
    <w:sectPr w:rsidR="00BA35D2" w:rsidRPr="00603BB6" w:rsidSect="00F074CF">
      <w:footerReference w:type="default" r:id="rId6"/>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984" w:rsidRDefault="00956984" w:rsidP="0024596A">
      <w:r>
        <w:separator/>
      </w:r>
    </w:p>
  </w:endnote>
  <w:endnote w:type="continuationSeparator" w:id="0">
    <w:p w:rsidR="00956984" w:rsidRDefault="00956984" w:rsidP="0024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269025"/>
      <w:docPartObj>
        <w:docPartGallery w:val="Page Numbers (Bottom of Page)"/>
        <w:docPartUnique/>
      </w:docPartObj>
    </w:sdtPr>
    <w:sdtEndPr/>
    <w:sdtContent>
      <w:p w:rsidR="0024596A" w:rsidRDefault="0024596A">
        <w:pPr>
          <w:pStyle w:val="a6"/>
          <w:jc w:val="center"/>
        </w:pPr>
        <w:r>
          <w:fldChar w:fldCharType="begin"/>
        </w:r>
        <w:r>
          <w:instrText>PAGE   \* MERGEFORMAT</w:instrText>
        </w:r>
        <w:r>
          <w:fldChar w:fldCharType="separate"/>
        </w:r>
        <w:r w:rsidR="007C399A" w:rsidRPr="007C399A">
          <w:rPr>
            <w:noProof/>
            <w:lang w:val="zh-CN"/>
          </w:rPr>
          <w:t>6</w:t>
        </w:r>
        <w:r>
          <w:fldChar w:fldCharType="end"/>
        </w:r>
      </w:p>
    </w:sdtContent>
  </w:sdt>
  <w:p w:rsidR="0024596A" w:rsidRDefault="002459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984" w:rsidRDefault="00956984" w:rsidP="0024596A">
      <w:r>
        <w:separator/>
      </w:r>
    </w:p>
  </w:footnote>
  <w:footnote w:type="continuationSeparator" w:id="0">
    <w:p w:rsidR="00956984" w:rsidRDefault="00956984" w:rsidP="0024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D2"/>
    <w:rsid w:val="001144B5"/>
    <w:rsid w:val="0024596A"/>
    <w:rsid w:val="00247E13"/>
    <w:rsid w:val="002559E4"/>
    <w:rsid w:val="003A5C6D"/>
    <w:rsid w:val="005240A0"/>
    <w:rsid w:val="00603BB6"/>
    <w:rsid w:val="007C399A"/>
    <w:rsid w:val="008A6B51"/>
    <w:rsid w:val="00956984"/>
    <w:rsid w:val="00A44754"/>
    <w:rsid w:val="00B61781"/>
    <w:rsid w:val="00BA35D2"/>
    <w:rsid w:val="00C43EC2"/>
    <w:rsid w:val="00D84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377343-5F50-4B3A-B9EB-2B52C0C4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5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35D2"/>
    <w:rPr>
      <w:sz w:val="18"/>
      <w:szCs w:val="18"/>
    </w:rPr>
  </w:style>
  <w:style w:type="character" w:customStyle="1" w:styleId="Char">
    <w:name w:val="批注框文本 Char"/>
    <w:basedOn w:val="a0"/>
    <w:link w:val="a3"/>
    <w:uiPriority w:val="99"/>
    <w:semiHidden/>
    <w:rsid w:val="00BA35D2"/>
    <w:rPr>
      <w:rFonts w:ascii="Times New Roman" w:eastAsia="宋体" w:hAnsi="Times New Roman" w:cs="Times New Roman"/>
      <w:sz w:val="18"/>
      <w:szCs w:val="18"/>
    </w:rPr>
  </w:style>
  <w:style w:type="paragraph" w:styleId="a4">
    <w:name w:val="Normal (Web)"/>
    <w:basedOn w:val="a"/>
    <w:uiPriority w:val="99"/>
    <w:unhideWhenUsed/>
    <w:rsid w:val="00BA35D2"/>
    <w:pPr>
      <w:widowControl/>
      <w:spacing w:before="100" w:beforeAutospacing="1" w:after="100" w:afterAutospacing="1"/>
      <w:jc w:val="left"/>
    </w:pPr>
    <w:rPr>
      <w:rFonts w:ascii="宋体" w:hAnsi="宋体" w:cs="宋体"/>
      <w:kern w:val="0"/>
      <w:sz w:val="24"/>
    </w:rPr>
  </w:style>
  <w:style w:type="paragraph" w:styleId="a5">
    <w:name w:val="header"/>
    <w:basedOn w:val="a"/>
    <w:link w:val="Char0"/>
    <w:uiPriority w:val="99"/>
    <w:unhideWhenUsed/>
    <w:rsid w:val="00BA35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A35D2"/>
    <w:rPr>
      <w:rFonts w:ascii="Times New Roman" w:eastAsia="宋体" w:hAnsi="Times New Roman" w:cs="Times New Roman"/>
      <w:sz w:val="18"/>
      <w:szCs w:val="18"/>
    </w:rPr>
  </w:style>
  <w:style w:type="paragraph" w:styleId="a6">
    <w:name w:val="footer"/>
    <w:basedOn w:val="a"/>
    <w:link w:val="Char1"/>
    <w:uiPriority w:val="99"/>
    <w:unhideWhenUsed/>
    <w:rsid w:val="00BA35D2"/>
    <w:pPr>
      <w:tabs>
        <w:tab w:val="center" w:pos="4153"/>
        <w:tab w:val="right" w:pos="8306"/>
      </w:tabs>
      <w:snapToGrid w:val="0"/>
      <w:jc w:val="left"/>
    </w:pPr>
    <w:rPr>
      <w:sz w:val="18"/>
      <w:szCs w:val="18"/>
    </w:rPr>
  </w:style>
  <w:style w:type="character" w:customStyle="1" w:styleId="Char1">
    <w:name w:val="页脚 Char"/>
    <w:basedOn w:val="a0"/>
    <w:link w:val="a6"/>
    <w:uiPriority w:val="99"/>
    <w:rsid w:val="00BA35D2"/>
    <w:rPr>
      <w:rFonts w:ascii="Times New Roman" w:eastAsia="宋体" w:hAnsi="Times New Roman" w:cs="Times New Roman"/>
      <w:sz w:val="18"/>
      <w:szCs w:val="18"/>
    </w:rPr>
  </w:style>
  <w:style w:type="character" w:styleId="a7">
    <w:name w:val="Subtle Emphasis"/>
    <w:uiPriority w:val="19"/>
    <w:qFormat/>
    <w:rsid w:val="00BA35D2"/>
    <w:rPr>
      <w:i/>
      <w:iCs/>
      <w:color w:val="548DD4"/>
    </w:rPr>
  </w:style>
  <w:style w:type="character" w:customStyle="1" w:styleId="a8">
    <w:name w:val="讨论疑问"/>
    <w:uiPriority w:val="1"/>
    <w:qFormat/>
    <w:rsid w:val="00BA35D2"/>
    <w:rPr>
      <w:i/>
      <w:iCs/>
      <w:color w:val="1F497D"/>
      <w:u w:val="doub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346</Words>
  <Characters>1974</Characters>
  <Application>Microsoft Office Word</Application>
  <DocSecurity>0</DocSecurity>
  <Lines>16</Lines>
  <Paragraphs>4</Paragraphs>
  <ScaleCrop>false</ScaleCrop>
  <Company>CFDA</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杨志强</dc:creator>
  <cp:lastModifiedBy>wxl</cp:lastModifiedBy>
  <cp:revision>3</cp:revision>
  <cp:lastPrinted>2019-03-21T03:39:00Z</cp:lastPrinted>
  <dcterms:created xsi:type="dcterms:W3CDTF">2019-03-27T06:50:00Z</dcterms:created>
  <dcterms:modified xsi:type="dcterms:W3CDTF">2019-03-27T09:33:00Z</dcterms:modified>
</cp:coreProperties>
</file>