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80" w:lineRule="exact"/>
        <w:rPr>
          <w:rFonts w:ascii="Times New Roman" w:hAnsi="Times New Roman"/>
          <w:color w:val="FF0000"/>
        </w:rPr>
      </w:pPr>
      <w:r>
        <w:rPr>
          <w:rFonts w:ascii="Times New Roman" w:hAnsi="Times New Roman" w:eastAsia="黑体"/>
          <w:sz w:val="32"/>
          <w:szCs w:val="32"/>
        </w:rPr>
        <w:t>附件</w:t>
      </w:r>
    </w:p>
    <w:p>
      <w:pPr>
        <w:widowControl/>
        <w:jc w:val="center"/>
        <w:rPr>
          <w:rFonts w:ascii="Times New Roman" w:hAnsi="Times New Roman" w:eastAsia="方正小标宋简体"/>
          <w:kern w:val="0"/>
          <w:sz w:val="40"/>
          <w:szCs w:val="40"/>
        </w:rPr>
      </w:pPr>
      <w:bookmarkStart w:id="0" w:name="_GoBack"/>
      <w:r>
        <w:rPr>
          <w:rFonts w:ascii="Times New Roman" w:hAnsi="Times New Roman" w:eastAsia="方正小标宋简体"/>
          <w:kern w:val="0"/>
          <w:sz w:val="40"/>
          <w:szCs w:val="40"/>
        </w:rPr>
        <w:t>2018年度全国可再生能源电力发展监测评价报告</w:t>
      </w:r>
      <w:bookmarkEnd w:id="0"/>
    </w:p>
    <w:p>
      <w:pPr>
        <w:spacing w:line="294" w:lineRule="exact"/>
        <w:jc w:val="center"/>
        <w:rPr>
          <w:rFonts w:ascii="Times New Roman" w:hAnsi="Times New Roman" w:eastAsia="楷体_GB2312"/>
          <w:color w:val="FF0000"/>
          <w:spacing w:val="-20"/>
          <w:sz w:val="24"/>
          <w:szCs w:val="24"/>
        </w:rPr>
      </w:pPr>
    </w:p>
    <w:p>
      <w:pPr>
        <w:pStyle w:val="2"/>
        <w:ind w:firstLine="600"/>
      </w:pPr>
      <w:r>
        <w:t>一、全国可再生能源电力发展总体情况</w:t>
      </w:r>
    </w:p>
    <w:p>
      <w:pPr>
        <w:spacing w:line="600"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截至2018年底，全国可再生能源发电装机容量7.29亿千瓦，占全部电力装机的38.4%，其中水电装机（含抽水蓄能）3.52亿千瓦，风电装机1.84亿千瓦，光伏发电装机1.75亿千瓦，生物质发电装机</w:t>
      </w:r>
      <w:r>
        <w:rPr>
          <w:rFonts w:ascii="Times New Roman" w:hAnsi="Times New Roman" w:eastAsia="方正仿宋_GBK"/>
          <w:color w:val="000000"/>
          <w:sz w:val="30"/>
          <w:szCs w:val="30"/>
        </w:rPr>
        <w:t>1781</w:t>
      </w:r>
      <w:r>
        <w:rPr>
          <w:rFonts w:ascii="Times New Roman" w:hAnsi="Times New Roman" w:eastAsia="方正仿宋_GBK"/>
          <w:sz w:val="30"/>
          <w:szCs w:val="30"/>
        </w:rPr>
        <w:t>万千瓦。2018年</w:t>
      </w:r>
      <w:r>
        <w:rPr>
          <w:rFonts w:hint="eastAsia" w:ascii="Times New Roman" w:hAnsi="Times New Roman" w:eastAsia="方正仿宋_GBK"/>
          <w:sz w:val="30"/>
          <w:szCs w:val="30"/>
        </w:rPr>
        <w:t>全国</w:t>
      </w:r>
      <w:r>
        <w:rPr>
          <w:rFonts w:ascii="Times New Roman" w:hAnsi="Times New Roman" w:eastAsia="方正仿宋_GBK"/>
          <w:sz w:val="30"/>
          <w:szCs w:val="30"/>
        </w:rPr>
        <w:t>可再生能源发电量18670.34亿千瓦时，占全部发电量的26.7%，其中水电发电量12329.27亿千瓦时，占全部发电量的17.6%，风电发电量3659.60亿千瓦时，占全部发电量的5.2%，光伏发电量1775.47亿千瓦时，占全部发电量的2.5%，生物质发电量</w:t>
      </w:r>
      <w:r>
        <w:rPr>
          <w:rFonts w:ascii="Times New Roman" w:hAnsi="Times New Roman" w:eastAsia="方正仿宋_GBK"/>
          <w:color w:val="000000"/>
          <w:sz w:val="30"/>
          <w:szCs w:val="30"/>
        </w:rPr>
        <w:t>906</w:t>
      </w:r>
      <w:r>
        <w:rPr>
          <w:rFonts w:ascii="Times New Roman" w:hAnsi="Times New Roman" w:eastAsia="方正仿宋_GBK"/>
          <w:sz w:val="30"/>
          <w:szCs w:val="30"/>
        </w:rPr>
        <w:t>亿千瓦时，占全部发电量的1.3%。</w:t>
      </w:r>
    </w:p>
    <w:p>
      <w:pPr>
        <w:pStyle w:val="2"/>
        <w:ind w:firstLine="600"/>
      </w:pPr>
      <w:r>
        <w:t>二、各省（区、市）可再生能源电力消纳情况</w:t>
      </w:r>
    </w:p>
    <w:p>
      <w:pPr>
        <w:spacing w:line="600"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2018年，包含水电在内</w:t>
      </w:r>
      <w:r>
        <w:rPr>
          <w:rFonts w:hint="eastAsia" w:ascii="Times New Roman" w:hAnsi="Times New Roman" w:eastAsia="方正仿宋_GBK"/>
          <w:sz w:val="30"/>
          <w:szCs w:val="30"/>
        </w:rPr>
        <w:t>的</w:t>
      </w:r>
      <w:r>
        <w:rPr>
          <w:rFonts w:ascii="Times New Roman" w:hAnsi="Times New Roman" w:eastAsia="方正仿宋_GBK"/>
          <w:sz w:val="30"/>
          <w:szCs w:val="30"/>
        </w:rPr>
        <w:t>全部可再生能源电力</w:t>
      </w:r>
      <w:r>
        <w:rPr>
          <w:rFonts w:hint="eastAsia" w:ascii="Times New Roman" w:hAnsi="Times New Roman" w:eastAsia="方正仿宋_GBK"/>
          <w:sz w:val="30"/>
          <w:szCs w:val="30"/>
        </w:rPr>
        <w:t>实际</w:t>
      </w:r>
      <w:r>
        <w:rPr>
          <w:rFonts w:ascii="Times New Roman" w:hAnsi="Times New Roman" w:eastAsia="方正仿宋_GBK"/>
          <w:sz w:val="30"/>
          <w:szCs w:val="30"/>
        </w:rPr>
        <w:t>消纳量为181</w:t>
      </w:r>
      <w:r>
        <w:rPr>
          <w:rFonts w:hint="eastAsia" w:ascii="Times New Roman" w:hAnsi="Times New Roman" w:eastAsia="方正仿宋_GBK"/>
          <w:sz w:val="30"/>
          <w:szCs w:val="30"/>
        </w:rPr>
        <w:t>5</w:t>
      </w:r>
      <w:r>
        <w:rPr>
          <w:rFonts w:ascii="Times New Roman" w:hAnsi="Times New Roman" w:eastAsia="方正仿宋_GBK"/>
          <w:sz w:val="30"/>
          <w:szCs w:val="30"/>
        </w:rPr>
        <w:t>8.97亿千瓦时，占全社会用电量比重为26.</w:t>
      </w:r>
      <w:r>
        <w:rPr>
          <w:rFonts w:hint="eastAsia" w:ascii="Times New Roman" w:hAnsi="Times New Roman" w:eastAsia="方正仿宋_GBK"/>
          <w:sz w:val="30"/>
          <w:szCs w:val="30"/>
        </w:rPr>
        <w:t>5</w:t>
      </w:r>
      <w:r>
        <w:rPr>
          <w:rFonts w:ascii="Times New Roman" w:hAnsi="Times New Roman" w:eastAsia="方正仿宋_GBK"/>
          <w:sz w:val="30"/>
          <w:szCs w:val="30"/>
        </w:rPr>
        <w:t>%，同比</w:t>
      </w:r>
      <w:r>
        <w:rPr>
          <w:rFonts w:hint="eastAsia" w:ascii="Times New Roman" w:hAnsi="Times New Roman" w:eastAsia="方正仿宋_GBK"/>
          <w:sz w:val="30"/>
          <w:szCs w:val="30"/>
        </w:rPr>
        <w:t>持平</w:t>
      </w:r>
      <w:r>
        <w:rPr>
          <w:rFonts w:ascii="Times New Roman" w:hAnsi="Times New Roman" w:eastAsia="方正仿宋_GBK"/>
          <w:sz w:val="30"/>
          <w:szCs w:val="30"/>
        </w:rPr>
        <w:t>。综合考虑各省（区、市）本地生产</w:t>
      </w:r>
      <w:r>
        <w:rPr>
          <w:rFonts w:hint="eastAsia" w:ascii="Times New Roman" w:hAnsi="Times New Roman" w:eastAsia="方正仿宋_GBK"/>
          <w:sz w:val="30"/>
          <w:szCs w:val="30"/>
        </w:rPr>
        <w:t>、</w:t>
      </w:r>
      <w:r>
        <w:rPr>
          <w:rFonts w:ascii="Times New Roman" w:hAnsi="Times New Roman" w:eastAsia="方正仿宋_GBK"/>
          <w:sz w:val="30"/>
          <w:szCs w:val="30"/>
        </w:rPr>
        <w:t>本地利用以及外</w:t>
      </w:r>
      <w:r>
        <w:rPr>
          <w:rFonts w:hint="eastAsia" w:ascii="Times New Roman" w:hAnsi="Times New Roman" w:eastAsia="方正仿宋_GBK"/>
          <w:sz w:val="30"/>
          <w:szCs w:val="30"/>
        </w:rPr>
        <w:t>来</w:t>
      </w:r>
      <w:r>
        <w:rPr>
          <w:rFonts w:ascii="Times New Roman" w:hAnsi="Times New Roman" w:eastAsia="方正仿宋_GBK"/>
          <w:sz w:val="30"/>
          <w:szCs w:val="30"/>
        </w:rPr>
        <w:t>电力消纳情况，2018年各省（区、市）可再生能源电力消纳量占本地全社会用电量比重如下：</w:t>
      </w:r>
    </w:p>
    <w:p>
      <w:pPr>
        <w:spacing w:line="600" w:lineRule="exact"/>
        <w:ind w:firstLine="600" w:firstLineChars="200"/>
        <w:rPr>
          <w:rFonts w:ascii="Times New Roman" w:hAnsi="Times New Roman" w:eastAsia="方正仿宋_GBK"/>
          <w:sz w:val="30"/>
          <w:szCs w:val="30"/>
        </w:rPr>
      </w:pPr>
    </w:p>
    <w:p>
      <w:pPr>
        <w:spacing w:line="600" w:lineRule="exact"/>
        <w:ind w:firstLine="600" w:firstLineChars="200"/>
        <w:rPr>
          <w:rFonts w:ascii="Times New Roman" w:hAnsi="Times New Roman" w:eastAsia="方正仿宋_GBK"/>
          <w:sz w:val="30"/>
          <w:szCs w:val="30"/>
        </w:rPr>
      </w:pPr>
    </w:p>
    <w:p>
      <w:pPr>
        <w:spacing w:line="600" w:lineRule="exact"/>
        <w:ind w:firstLine="600" w:firstLineChars="200"/>
        <w:rPr>
          <w:rFonts w:ascii="Times New Roman" w:hAnsi="Times New Roman" w:eastAsia="方正仿宋_GBK"/>
          <w:sz w:val="30"/>
          <w:szCs w:val="30"/>
        </w:rPr>
      </w:pPr>
    </w:p>
    <w:p>
      <w:pPr>
        <w:pStyle w:val="16"/>
        <w:rPr>
          <w:rFonts w:eastAsia="黑体"/>
          <w:sz w:val="40"/>
          <w:szCs w:val="30"/>
        </w:rPr>
      </w:pPr>
      <w:r>
        <w:rPr>
          <w:rFonts w:hAnsi="黑体" w:eastAsia="黑体"/>
        </w:rPr>
        <w:t>表</w:t>
      </w:r>
      <w:r>
        <w:rPr>
          <w:rFonts w:eastAsia="黑体"/>
        </w:rPr>
        <w:t>1  2018</w:t>
      </w:r>
      <w:r>
        <w:rPr>
          <w:rFonts w:hAnsi="黑体" w:eastAsia="黑体"/>
        </w:rPr>
        <w:t>年各省（区、市）可再生能源电力消纳情况</w:t>
      </w:r>
    </w:p>
    <w:tbl>
      <w:tblPr>
        <w:tblW w:w="86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600"/>
        <w:gridCol w:w="2520"/>
        <w:gridCol w:w="2480"/>
        <w:gridCol w:w="2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95" w:hRule="atLeast"/>
        </w:trPr>
        <w:tc>
          <w:tcPr>
            <w:tcW w:w="16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b/>
                <w:bCs/>
                <w:color w:val="000000"/>
                <w:kern w:val="0"/>
                <w:sz w:val="22"/>
              </w:rPr>
            </w:pPr>
            <w:r>
              <w:rPr>
                <w:rFonts w:ascii="Times New Roman" w:hAnsi="宋体"/>
                <w:b/>
                <w:bCs/>
                <w:color w:val="000000"/>
                <w:kern w:val="0"/>
                <w:sz w:val="22"/>
              </w:rPr>
              <w:t>省（区、市）</w:t>
            </w:r>
          </w:p>
        </w:tc>
        <w:tc>
          <w:tcPr>
            <w:tcW w:w="2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color w:val="000000"/>
                <w:kern w:val="0"/>
                <w:sz w:val="22"/>
              </w:rPr>
            </w:pPr>
            <w:r>
              <w:rPr>
                <w:rFonts w:ascii="Times New Roman" w:hAnsi="宋体"/>
                <w:b/>
                <w:bCs/>
                <w:color w:val="000000"/>
                <w:kern w:val="0"/>
                <w:sz w:val="22"/>
              </w:rPr>
              <w:t>可再生能源电力消纳量（亿千瓦时）</w:t>
            </w:r>
          </w:p>
        </w:tc>
        <w:tc>
          <w:tcPr>
            <w:tcW w:w="248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color w:val="000000"/>
                <w:kern w:val="0"/>
                <w:sz w:val="22"/>
              </w:rPr>
            </w:pPr>
            <w:r>
              <w:rPr>
                <w:rFonts w:ascii="Times New Roman" w:hAnsi="宋体"/>
                <w:b/>
                <w:bCs/>
                <w:color w:val="000000"/>
                <w:kern w:val="0"/>
                <w:sz w:val="22"/>
              </w:rPr>
              <w:t>可再生能源电力消纳比重</w:t>
            </w:r>
          </w:p>
        </w:tc>
        <w:tc>
          <w:tcPr>
            <w:tcW w:w="20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color w:val="000000"/>
                <w:kern w:val="0"/>
                <w:sz w:val="22"/>
              </w:rPr>
            </w:pPr>
            <w:r>
              <w:rPr>
                <w:rFonts w:ascii="Times New Roman" w:hAnsi="宋体"/>
                <w:b/>
                <w:bCs/>
                <w:color w:val="000000"/>
                <w:kern w:val="0"/>
                <w:sz w:val="22"/>
              </w:rPr>
              <w:t>同比增加百分点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160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宋体"/>
                <w:color w:val="000000"/>
                <w:kern w:val="0"/>
                <w:szCs w:val="21"/>
              </w:rPr>
              <w:t>北京</w:t>
            </w:r>
          </w:p>
        </w:tc>
        <w:tc>
          <w:tcPr>
            <w:tcW w:w="2520"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szCs w:val="21"/>
              </w:rPr>
              <w:t>150.75</w:t>
            </w:r>
          </w:p>
        </w:tc>
        <w:tc>
          <w:tcPr>
            <w:tcW w:w="248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13.2%</w:t>
            </w:r>
          </w:p>
        </w:tc>
        <w:tc>
          <w:tcPr>
            <w:tcW w:w="202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160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宋体"/>
                <w:color w:val="000000"/>
                <w:kern w:val="0"/>
                <w:szCs w:val="21"/>
              </w:rPr>
              <w:t>天津</w:t>
            </w:r>
          </w:p>
        </w:tc>
        <w:tc>
          <w:tcPr>
            <w:tcW w:w="2520"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98.20</w:t>
            </w:r>
          </w:p>
        </w:tc>
        <w:tc>
          <w:tcPr>
            <w:tcW w:w="248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11.4%</w:t>
            </w:r>
          </w:p>
        </w:tc>
        <w:tc>
          <w:tcPr>
            <w:tcW w:w="202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160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宋体"/>
                <w:color w:val="000000"/>
                <w:kern w:val="0"/>
                <w:szCs w:val="21"/>
              </w:rPr>
              <w:t>河北</w:t>
            </w:r>
          </w:p>
        </w:tc>
        <w:tc>
          <w:tcPr>
            <w:tcW w:w="2520"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448.38</w:t>
            </w:r>
          </w:p>
        </w:tc>
        <w:tc>
          <w:tcPr>
            <w:tcW w:w="248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12.2%</w:t>
            </w:r>
          </w:p>
        </w:tc>
        <w:tc>
          <w:tcPr>
            <w:tcW w:w="202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160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宋体"/>
                <w:color w:val="000000"/>
                <w:kern w:val="0"/>
                <w:szCs w:val="21"/>
              </w:rPr>
              <w:t>山西</w:t>
            </w:r>
          </w:p>
        </w:tc>
        <w:tc>
          <w:tcPr>
            <w:tcW w:w="2520"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355.25</w:t>
            </w:r>
          </w:p>
        </w:tc>
        <w:tc>
          <w:tcPr>
            <w:tcW w:w="248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16.4%</w:t>
            </w:r>
          </w:p>
        </w:tc>
        <w:tc>
          <w:tcPr>
            <w:tcW w:w="202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160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宋体"/>
                <w:color w:val="000000"/>
                <w:kern w:val="0"/>
                <w:szCs w:val="21"/>
              </w:rPr>
              <w:t>内蒙古</w:t>
            </w:r>
          </w:p>
        </w:tc>
        <w:tc>
          <w:tcPr>
            <w:tcW w:w="2520"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624.34</w:t>
            </w:r>
          </w:p>
        </w:tc>
        <w:tc>
          <w:tcPr>
            <w:tcW w:w="248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18.6%</w:t>
            </w:r>
          </w:p>
        </w:tc>
        <w:tc>
          <w:tcPr>
            <w:tcW w:w="202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160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宋体"/>
                <w:color w:val="000000"/>
                <w:kern w:val="0"/>
                <w:szCs w:val="21"/>
              </w:rPr>
              <w:t>辽宁</w:t>
            </w:r>
          </w:p>
        </w:tc>
        <w:tc>
          <w:tcPr>
            <w:tcW w:w="2520"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326.37</w:t>
            </w:r>
          </w:p>
        </w:tc>
        <w:tc>
          <w:tcPr>
            <w:tcW w:w="248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14.2%</w:t>
            </w:r>
          </w:p>
        </w:tc>
        <w:tc>
          <w:tcPr>
            <w:tcW w:w="202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160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宋体"/>
                <w:color w:val="000000"/>
                <w:kern w:val="0"/>
                <w:szCs w:val="21"/>
              </w:rPr>
              <w:t>吉林</w:t>
            </w:r>
          </w:p>
        </w:tc>
        <w:tc>
          <w:tcPr>
            <w:tcW w:w="2520"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186.53</w:t>
            </w:r>
          </w:p>
        </w:tc>
        <w:tc>
          <w:tcPr>
            <w:tcW w:w="248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24.9%</w:t>
            </w:r>
          </w:p>
        </w:tc>
        <w:tc>
          <w:tcPr>
            <w:tcW w:w="202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160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宋体"/>
                <w:color w:val="000000"/>
                <w:kern w:val="0"/>
                <w:szCs w:val="21"/>
              </w:rPr>
              <w:t>黑龙江</w:t>
            </w:r>
          </w:p>
        </w:tc>
        <w:tc>
          <w:tcPr>
            <w:tcW w:w="2520"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188.70</w:t>
            </w:r>
          </w:p>
        </w:tc>
        <w:tc>
          <w:tcPr>
            <w:tcW w:w="248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19.4%</w:t>
            </w:r>
          </w:p>
        </w:tc>
        <w:tc>
          <w:tcPr>
            <w:tcW w:w="202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160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宋体"/>
                <w:color w:val="000000"/>
                <w:kern w:val="0"/>
                <w:szCs w:val="21"/>
              </w:rPr>
              <w:t>上海</w:t>
            </w:r>
          </w:p>
        </w:tc>
        <w:tc>
          <w:tcPr>
            <w:tcW w:w="2520"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503.23</w:t>
            </w:r>
          </w:p>
        </w:tc>
        <w:tc>
          <w:tcPr>
            <w:tcW w:w="248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32.1%</w:t>
            </w:r>
          </w:p>
        </w:tc>
        <w:tc>
          <w:tcPr>
            <w:tcW w:w="202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160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宋体"/>
                <w:color w:val="000000"/>
                <w:kern w:val="0"/>
                <w:szCs w:val="21"/>
              </w:rPr>
              <w:t>江苏</w:t>
            </w:r>
          </w:p>
        </w:tc>
        <w:tc>
          <w:tcPr>
            <w:tcW w:w="2520"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902.91</w:t>
            </w:r>
          </w:p>
        </w:tc>
        <w:tc>
          <w:tcPr>
            <w:tcW w:w="248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14.7%</w:t>
            </w:r>
          </w:p>
        </w:tc>
        <w:tc>
          <w:tcPr>
            <w:tcW w:w="202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160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宋体"/>
                <w:color w:val="000000"/>
                <w:kern w:val="0"/>
                <w:szCs w:val="21"/>
              </w:rPr>
              <w:t>浙江</w:t>
            </w:r>
          </w:p>
        </w:tc>
        <w:tc>
          <w:tcPr>
            <w:tcW w:w="2520"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826.98</w:t>
            </w:r>
            <w:r>
              <w:rPr>
                <w:rFonts w:hint="eastAsia" w:ascii="Times New Roman" w:hAnsi="Times New Roman"/>
                <w:color w:val="000000"/>
                <w:szCs w:val="21"/>
              </w:rPr>
              <w:t>*</w:t>
            </w:r>
          </w:p>
        </w:tc>
        <w:tc>
          <w:tcPr>
            <w:tcW w:w="248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17.8%</w:t>
            </w:r>
          </w:p>
        </w:tc>
        <w:tc>
          <w:tcPr>
            <w:tcW w:w="202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160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宋体"/>
                <w:color w:val="000000"/>
                <w:kern w:val="0"/>
                <w:szCs w:val="21"/>
              </w:rPr>
              <w:t>安徽</w:t>
            </w:r>
          </w:p>
        </w:tc>
        <w:tc>
          <w:tcPr>
            <w:tcW w:w="2520"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317.06</w:t>
            </w:r>
          </w:p>
        </w:tc>
        <w:tc>
          <w:tcPr>
            <w:tcW w:w="248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14.9%</w:t>
            </w:r>
          </w:p>
        </w:tc>
        <w:tc>
          <w:tcPr>
            <w:tcW w:w="202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160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宋体"/>
                <w:color w:val="000000"/>
                <w:kern w:val="0"/>
                <w:szCs w:val="21"/>
              </w:rPr>
              <w:t>福建</w:t>
            </w:r>
          </w:p>
        </w:tc>
        <w:tc>
          <w:tcPr>
            <w:tcW w:w="2520"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439.71</w:t>
            </w:r>
          </w:p>
        </w:tc>
        <w:tc>
          <w:tcPr>
            <w:tcW w:w="248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19.0%</w:t>
            </w:r>
          </w:p>
        </w:tc>
        <w:tc>
          <w:tcPr>
            <w:tcW w:w="202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160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宋体"/>
                <w:color w:val="000000"/>
                <w:kern w:val="0"/>
                <w:szCs w:val="21"/>
              </w:rPr>
              <w:t>江西</w:t>
            </w:r>
          </w:p>
        </w:tc>
        <w:tc>
          <w:tcPr>
            <w:tcW w:w="2520"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326.96</w:t>
            </w:r>
          </w:p>
        </w:tc>
        <w:tc>
          <w:tcPr>
            <w:tcW w:w="248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22.9%</w:t>
            </w:r>
          </w:p>
        </w:tc>
        <w:tc>
          <w:tcPr>
            <w:tcW w:w="202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160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宋体"/>
                <w:color w:val="000000"/>
                <w:kern w:val="0"/>
                <w:szCs w:val="21"/>
              </w:rPr>
              <w:t>山东</w:t>
            </w:r>
          </w:p>
        </w:tc>
        <w:tc>
          <w:tcPr>
            <w:tcW w:w="2520"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583.60</w:t>
            </w:r>
          </w:p>
        </w:tc>
        <w:tc>
          <w:tcPr>
            <w:tcW w:w="248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9.9%</w:t>
            </w:r>
          </w:p>
        </w:tc>
        <w:tc>
          <w:tcPr>
            <w:tcW w:w="202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160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宋体"/>
                <w:color w:val="000000"/>
                <w:kern w:val="0"/>
                <w:szCs w:val="21"/>
              </w:rPr>
              <w:t>河南</w:t>
            </w:r>
          </w:p>
        </w:tc>
        <w:tc>
          <w:tcPr>
            <w:tcW w:w="2520"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578.39</w:t>
            </w:r>
          </w:p>
        </w:tc>
        <w:tc>
          <w:tcPr>
            <w:tcW w:w="248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16.9%</w:t>
            </w:r>
          </w:p>
        </w:tc>
        <w:tc>
          <w:tcPr>
            <w:tcW w:w="202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160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宋体"/>
                <w:color w:val="000000"/>
                <w:kern w:val="0"/>
                <w:szCs w:val="21"/>
              </w:rPr>
              <w:t>湖北</w:t>
            </w:r>
          </w:p>
        </w:tc>
        <w:tc>
          <w:tcPr>
            <w:tcW w:w="2520"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787.92</w:t>
            </w:r>
          </w:p>
        </w:tc>
        <w:tc>
          <w:tcPr>
            <w:tcW w:w="248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38.0%</w:t>
            </w:r>
          </w:p>
        </w:tc>
        <w:tc>
          <w:tcPr>
            <w:tcW w:w="202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160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宋体"/>
                <w:color w:val="000000"/>
                <w:kern w:val="0"/>
                <w:szCs w:val="21"/>
              </w:rPr>
              <w:t>湖南</w:t>
            </w:r>
          </w:p>
        </w:tc>
        <w:tc>
          <w:tcPr>
            <w:tcW w:w="2520"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735.14</w:t>
            </w:r>
          </w:p>
        </w:tc>
        <w:tc>
          <w:tcPr>
            <w:tcW w:w="248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42.1%</w:t>
            </w:r>
          </w:p>
        </w:tc>
        <w:tc>
          <w:tcPr>
            <w:tcW w:w="202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160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宋体"/>
                <w:color w:val="000000"/>
                <w:kern w:val="0"/>
                <w:szCs w:val="21"/>
              </w:rPr>
              <w:t>广东</w:t>
            </w:r>
          </w:p>
        </w:tc>
        <w:tc>
          <w:tcPr>
            <w:tcW w:w="2520"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2079.53</w:t>
            </w:r>
          </w:p>
        </w:tc>
        <w:tc>
          <w:tcPr>
            <w:tcW w:w="248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32.9%</w:t>
            </w:r>
          </w:p>
        </w:tc>
        <w:tc>
          <w:tcPr>
            <w:tcW w:w="202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160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宋体"/>
                <w:color w:val="000000"/>
                <w:kern w:val="0"/>
                <w:szCs w:val="21"/>
              </w:rPr>
              <w:t>广西</w:t>
            </w:r>
          </w:p>
        </w:tc>
        <w:tc>
          <w:tcPr>
            <w:tcW w:w="2520"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783.33</w:t>
            </w:r>
          </w:p>
        </w:tc>
        <w:tc>
          <w:tcPr>
            <w:tcW w:w="248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46.0%</w:t>
            </w:r>
          </w:p>
        </w:tc>
        <w:tc>
          <w:tcPr>
            <w:tcW w:w="202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160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宋体"/>
                <w:color w:val="000000"/>
                <w:kern w:val="0"/>
                <w:szCs w:val="21"/>
              </w:rPr>
              <w:t>海南</w:t>
            </w:r>
          </w:p>
        </w:tc>
        <w:tc>
          <w:tcPr>
            <w:tcW w:w="2520"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44.28</w:t>
            </w:r>
          </w:p>
        </w:tc>
        <w:tc>
          <w:tcPr>
            <w:tcW w:w="248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13.6%</w:t>
            </w:r>
          </w:p>
        </w:tc>
        <w:tc>
          <w:tcPr>
            <w:tcW w:w="202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160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宋体"/>
                <w:color w:val="000000"/>
                <w:kern w:val="0"/>
                <w:szCs w:val="21"/>
              </w:rPr>
              <w:t>重庆</w:t>
            </w:r>
          </w:p>
        </w:tc>
        <w:tc>
          <w:tcPr>
            <w:tcW w:w="2520"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511.94</w:t>
            </w:r>
          </w:p>
        </w:tc>
        <w:tc>
          <w:tcPr>
            <w:tcW w:w="248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45.9%</w:t>
            </w:r>
          </w:p>
        </w:tc>
        <w:tc>
          <w:tcPr>
            <w:tcW w:w="202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160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宋体"/>
                <w:color w:val="000000"/>
                <w:kern w:val="0"/>
                <w:szCs w:val="21"/>
              </w:rPr>
              <w:t>四川</w:t>
            </w:r>
          </w:p>
        </w:tc>
        <w:tc>
          <w:tcPr>
            <w:tcW w:w="2520"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2013.21</w:t>
            </w:r>
          </w:p>
        </w:tc>
        <w:tc>
          <w:tcPr>
            <w:tcW w:w="248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81.9%</w:t>
            </w:r>
          </w:p>
        </w:tc>
        <w:tc>
          <w:tcPr>
            <w:tcW w:w="202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160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宋体"/>
                <w:color w:val="000000"/>
                <w:kern w:val="0"/>
                <w:szCs w:val="21"/>
              </w:rPr>
              <w:t>贵州</w:t>
            </w:r>
          </w:p>
        </w:tc>
        <w:tc>
          <w:tcPr>
            <w:tcW w:w="2520"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537.22</w:t>
            </w:r>
          </w:p>
        </w:tc>
        <w:tc>
          <w:tcPr>
            <w:tcW w:w="248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36.2%</w:t>
            </w:r>
          </w:p>
        </w:tc>
        <w:tc>
          <w:tcPr>
            <w:tcW w:w="202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160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宋体"/>
                <w:color w:val="000000"/>
                <w:kern w:val="0"/>
                <w:szCs w:val="21"/>
              </w:rPr>
              <w:t>云南</w:t>
            </w:r>
          </w:p>
        </w:tc>
        <w:tc>
          <w:tcPr>
            <w:tcW w:w="2520"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1399.74</w:t>
            </w:r>
          </w:p>
        </w:tc>
        <w:tc>
          <w:tcPr>
            <w:tcW w:w="248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83.4%</w:t>
            </w:r>
          </w:p>
        </w:tc>
        <w:tc>
          <w:tcPr>
            <w:tcW w:w="202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160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宋体"/>
                <w:color w:val="000000"/>
                <w:kern w:val="0"/>
                <w:szCs w:val="21"/>
              </w:rPr>
              <w:t>西藏</w:t>
            </w:r>
          </w:p>
        </w:tc>
        <w:tc>
          <w:tcPr>
            <w:tcW w:w="2520"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61.42</w:t>
            </w:r>
          </w:p>
        </w:tc>
        <w:tc>
          <w:tcPr>
            <w:tcW w:w="248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89.0%</w:t>
            </w:r>
          </w:p>
        </w:tc>
        <w:tc>
          <w:tcPr>
            <w:tcW w:w="202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160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宋体"/>
                <w:color w:val="000000"/>
                <w:kern w:val="0"/>
                <w:szCs w:val="21"/>
              </w:rPr>
              <w:t>陕西</w:t>
            </w:r>
          </w:p>
        </w:tc>
        <w:tc>
          <w:tcPr>
            <w:tcW w:w="2520"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324.11</w:t>
            </w:r>
          </w:p>
        </w:tc>
        <w:tc>
          <w:tcPr>
            <w:tcW w:w="248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20.3%</w:t>
            </w:r>
          </w:p>
        </w:tc>
        <w:tc>
          <w:tcPr>
            <w:tcW w:w="202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160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宋体"/>
                <w:color w:val="000000"/>
                <w:kern w:val="0"/>
                <w:szCs w:val="21"/>
              </w:rPr>
              <w:t>甘肃</w:t>
            </w:r>
          </w:p>
        </w:tc>
        <w:tc>
          <w:tcPr>
            <w:tcW w:w="2520"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624.51</w:t>
            </w:r>
          </w:p>
        </w:tc>
        <w:tc>
          <w:tcPr>
            <w:tcW w:w="248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48.4%</w:t>
            </w:r>
          </w:p>
        </w:tc>
        <w:tc>
          <w:tcPr>
            <w:tcW w:w="202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160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宋体"/>
                <w:color w:val="000000"/>
                <w:kern w:val="0"/>
                <w:szCs w:val="21"/>
              </w:rPr>
              <w:t>青海</w:t>
            </w:r>
          </w:p>
        </w:tc>
        <w:tc>
          <w:tcPr>
            <w:tcW w:w="2520"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577.45</w:t>
            </w:r>
          </w:p>
        </w:tc>
        <w:tc>
          <w:tcPr>
            <w:tcW w:w="248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78.2%</w:t>
            </w:r>
          </w:p>
        </w:tc>
        <w:tc>
          <w:tcPr>
            <w:tcW w:w="202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160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宋体"/>
                <w:color w:val="000000"/>
                <w:kern w:val="0"/>
                <w:szCs w:val="21"/>
              </w:rPr>
              <w:t>宁夏</w:t>
            </w:r>
          </w:p>
        </w:tc>
        <w:tc>
          <w:tcPr>
            <w:tcW w:w="2520"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268.31</w:t>
            </w:r>
          </w:p>
        </w:tc>
        <w:tc>
          <w:tcPr>
            <w:tcW w:w="248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25.2%</w:t>
            </w:r>
          </w:p>
        </w:tc>
        <w:tc>
          <w:tcPr>
            <w:tcW w:w="202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160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宋体"/>
                <w:color w:val="000000"/>
                <w:kern w:val="0"/>
                <w:szCs w:val="21"/>
              </w:rPr>
              <w:t>新疆</w:t>
            </w:r>
          </w:p>
        </w:tc>
        <w:tc>
          <w:tcPr>
            <w:tcW w:w="2520"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573.50</w:t>
            </w:r>
          </w:p>
        </w:tc>
        <w:tc>
          <w:tcPr>
            <w:tcW w:w="248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26.8%</w:t>
            </w:r>
          </w:p>
        </w:tc>
        <w:tc>
          <w:tcPr>
            <w:tcW w:w="2020"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160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b/>
                <w:color w:val="000000"/>
                <w:kern w:val="0"/>
                <w:szCs w:val="21"/>
              </w:rPr>
            </w:pPr>
            <w:r>
              <w:rPr>
                <w:rFonts w:ascii="Times New Roman" w:hAnsi="宋体"/>
                <w:b/>
                <w:color w:val="000000"/>
                <w:kern w:val="0"/>
                <w:szCs w:val="21"/>
              </w:rPr>
              <w:t>全</w:t>
            </w:r>
            <w:r>
              <w:rPr>
                <w:rFonts w:ascii="Times New Roman" w:hAnsi="Times New Roman"/>
                <w:b/>
                <w:color w:val="000000"/>
                <w:kern w:val="0"/>
                <w:szCs w:val="21"/>
              </w:rPr>
              <w:t xml:space="preserve"> </w:t>
            </w:r>
            <w:r>
              <w:rPr>
                <w:rFonts w:ascii="Times New Roman" w:hAnsi="宋体"/>
                <w:b/>
                <w:color w:val="000000"/>
                <w:kern w:val="0"/>
                <w:szCs w:val="21"/>
              </w:rPr>
              <w:t>国</w:t>
            </w:r>
          </w:p>
        </w:tc>
        <w:tc>
          <w:tcPr>
            <w:tcW w:w="2520" w:type="dxa"/>
            <w:tcBorders>
              <w:top w:val="nil"/>
              <w:left w:val="nil"/>
              <w:bottom w:val="single" w:color="auto" w:sz="4" w:space="0"/>
              <w:right w:val="single" w:color="auto" w:sz="4" w:space="0"/>
            </w:tcBorders>
            <w:vAlign w:val="center"/>
          </w:tcPr>
          <w:p>
            <w:pPr>
              <w:widowControl/>
              <w:jc w:val="center"/>
              <w:rPr>
                <w:rFonts w:ascii="Times New Roman" w:hAnsi="Times New Roman"/>
                <w:b/>
                <w:color w:val="000000"/>
                <w:kern w:val="0"/>
                <w:szCs w:val="21"/>
              </w:rPr>
            </w:pPr>
            <w:r>
              <w:rPr>
                <w:rFonts w:ascii="Times New Roman" w:hAnsi="Times New Roman"/>
                <w:b/>
                <w:color w:val="000000"/>
                <w:kern w:val="0"/>
                <w:szCs w:val="21"/>
              </w:rPr>
              <w:t>181</w:t>
            </w:r>
            <w:r>
              <w:rPr>
                <w:rFonts w:hint="eastAsia" w:ascii="Times New Roman" w:hAnsi="Times New Roman"/>
                <w:b/>
                <w:color w:val="000000"/>
                <w:kern w:val="0"/>
                <w:szCs w:val="21"/>
              </w:rPr>
              <w:t>5</w:t>
            </w:r>
            <w:r>
              <w:rPr>
                <w:rFonts w:ascii="Times New Roman" w:hAnsi="Times New Roman"/>
                <w:b/>
                <w:color w:val="000000"/>
                <w:kern w:val="0"/>
                <w:szCs w:val="21"/>
              </w:rPr>
              <w:t>8.97</w:t>
            </w:r>
          </w:p>
        </w:tc>
        <w:tc>
          <w:tcPr>
            <w:tcW w:w="2480" w:type="dxa"/>
            <w:tcBorders>
              <w:top w:val="nil"/>
              <w:left w:val="nil"/>
              <w:bottom w:val="single" w:color="auto" w:sz="4" w:space="0"/>
              <w:right w:val="single" w:color="auto" w:sz="4" w:space="0"/>
            </w:tcBorders>
            <w:vAlign w:val="center"/>
          </w:tcPr>
          <w:p>
            <w:pPr>
              <w:widowControl/>
              <w:jc w:val="center"/>
              <w:rPr>
                <w:rFonts w:ascii="Times New Roman" w:hAnsi="Times New Roman"/>
                <w:b/>
                <w:color w:val="000000"/>
                <w:kern w:val="0"/>
                <w:szCs w:val="21"/>
              </w:rPr>
            </w:pPr>
            <w:r>
              <w:rPr>
                <w:rFonts w:ascii="Times New Roman" w:hAnsi="Times New Roman"/>
                <w:b/>
                <w:color w:val="000000"/>
                <w:kern w:val="0"/>
                <w:szCs w:val="21"/>
              </w:rPr>
              <w:t>26.5%</w:t>
            </w:r>
          </w:p>
        </w:tc>
        <w:tc>
          <w:tcPr>
            <w:tcW w:w="2020" w:type="dxa"/>
            <w:tcBorders>
              <w:top w:val="nil"/>
              <w:left w:val="nil"/>
              <w:bottom w:val="single" w:color="auto" w:sz="4" w:space="0"/>
              <w:right w:val="single" w:color="auto" w:sz="4" w:space="0"/>
            </w:tcBorders>
            <w:vAlign w:val="center"/>
          </w:tcPr>
          <w:p>
            <w:pPr>
              <w:widowControl/>
              <w:jc w:val="center"/>
              <w:rPr>
                <w:rFonts w:ascii="Times New Roman" w:hAnsi="Times New Roman"/>
                <w:b/>
                <w:color w:val="000000"/>
                <w:kern w:val="0"/>
                <w:szCs w:val="21"/>
              </w:rPr>
            </w:pPr>
            <w:r>
              <w:rPr>
                <w:rFonts w:ascii="Times New Roman" w:hAnsi="Times New Roman"/>
                <w:b/>
                <w:color w:val="000000"/>
                <w:kern w:val="0"/>
                <w:szCs w:val="21"/>
              </w:rPr>
              <w:t>0</w:t>
            </w:r>
          </w:p>
        </w:tc>
      </w:tr>
    </w:tbl>
    <w:p>
      <w:pPr>
        <w:spacing w:line="276" w:lineRule="auto"/>
        <w:rPr>
          <w:rFonts w:ascii="Times New Roman" w:hAnsi="Times New Roman"/>
          <w:szCs w:val="21"/>
        </w:rPr>
      </w:pPr>
      <w:r>
        <w:rPr>
          <w:rFonts w:ascii="Times New Roman" w:hAnsi="Times New Roman"/>
          <w:szCs w:val="21"/>
        </w:rPr>
        <w:t>*2018年浙江省</w:t>
      </w:r>
      <w:r>
        <w:rPr>
          <w:rFonts w:hint="eastAsia" w:ascii="Times New Roman" w:hAnsi="Times New Roman"/>
          <w:szCs w:val="21"/>
        </w:rPr>
        <w:t>因</w:t>
      </w:r>
      <w:r>
        <w:rPr>
          <w:rFonts w:ascii="Times New Roman" w:hAnsi="Times New Roman"/>
          <w:szCs w:val="21"/>
        </w:rPr>
        <w:t>来水</w:t>
      </w:r>
      <w:r>
        <w:rPr>
          <w:rFonts w:hint="eastAsia" w:ascii="Times New Roman" w:hAnsi="Times New Roman"/>
          <w:szCs w:val="21"/>
        </w:rPr>
        <w:t>偏少造成水电</w:t>
      </w:r>
      <w:r>
        <w:rPr>
          <w:rFonts w:ascii="Times New Roman" w:hAnsi="Times New Roman"/>
          <w:szCs w:val="21"/>
        </w:rPr>
        <w:t>发电量减少</w:t>
      </w:r>
      <w:r>
        <w:rPr>
          <w:rFonts w:hint="eastAsia" w:ascii="Times New Roman" w:hAnsi="Times New Roman"/>
          <w:szCs w:val="21"/>
        </w:rPr>
        <w:t>、</w:t>
      </w:r>
      <w:r>
        <w:rPr>
          <w:rFonts w:ascii="Times New Roman" w:hAnsi="Times New Roman"/>
          <w:szCs w:val="21"/>
        </w:rPr>
        <w:t>灵绍特高压通道输送</w:t>
      </w:r>
      <w:r>
        <w:rPr>
          <w:rFonts w:hint="eastAsia" w:ascii="Times New Roman" w:hAnsi="Times New Roman"/>
          <w:szCs w:val="21"/>
        </w:rPr>
        <w:t>可再生</w:t>
      </w:r>
      <w:r>
        <w:rPr>
          <w:rFonts w:ascii="Times New Roman" w:hAnsi="Times New Roman"/>
          <w:szCs w:val="21"/>
        </w:rPr>
        <w:t>能源电量占总输电量比重未达到国家规定比重</w:t>
      </w:r>
      <w:r>
        <w:rPr>
          <w:rFonts w:hint="eastAsia" w:ascii="Times New Roman" w:hAnsi="Times New Roman"/>
          <w:szCs w:val="21"/>
        </w:rPr>
        <w:t>等因素影响</w:t>
      </w:r>
      <w:r>
        <w:rPr>
          <w:rFonts w:ascii="Times New Roman" w:hAnsi="Times New Roman"/>
          <w:szCs w:val="21"/>
        </w:rPr>
        <w:t>，实际消纳可再生能源电量</w:t>
      </w:r>
      <w:r>
        <w:rPr>
          <w:rFonts w:hint="eastAsia" w:ascii="Times New Roman" w:hAnsi="Times New Roman"/>
          <w:szCs w:val="21"/>
        </w:rPr>
        <w:t>偏少</w:t>
      </w:r>
      <w:r>
        <w:rPr>
          <w:rFonts w:ascii="Times New Roman" w:hAnsi="Times New Roman"/>
          <w:szCs w:val="21"/>
        </w:rPr>
        <w:t>，浙江省购买可再生能源绿色电力证书</w:t>
      </w:r>
      <w:r>
        <w:rPr>
          <w:rFonts w:hint="eastAsia" w:ascii="Times New Roman" w:hAnsi="Times New Roman"/>
          <w:szCs w:val="21"/>
        </w:rPr>
        <w:t>折算可再生能源电力消纳量</w:t>
      </w:r>
      <w:r>
        <w:rPr>
          <w:rFonts w:ascii="Times New Roman" w:hAnsi="Times New Roman"/>
          <w:szCs w:val="21"/>
        </w:rPr>
        <w:t>20亿千瓦时</w:t>
      </w:r>
      <w:r>
        <w:rPr>
          <w:rFonts w:hint="eastAsia" w:ascii="Times New Roman" w:hAnsi="Times New Roman"/>
          <w:szCs w:val="21"/>
        </w:rPr>
        <w:t>。</w:t>
      </w:r>
    </w:p>
    <w:p>
      <w:pPr>
        <w:pStyle w:val="2"/>
        <w:ind w:firstLine="600"/>
      </w:pPr>
      <w:r>
        <w:t>三、各省（区、市）非水电可再生能源电力消纳情况</w:t>
      </w:r>
    </w:p>
    <w:p>
      <w:pPr>
        <w:spacing w:line="600"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2018年，全国非水电可再生能源电力消纳量为63</w:t>
      </w:r>
      <w:r>
        <w:rPr>
          <w:rFonts w:hint="eastAsia" w:ascii="Times New Roman" w:hAnsi="Times New Roman" w:eastAsia="方正仿宋_GBK"/>
          <w:sz w:val="30"/>
          <w:szCs w:val="30"/>
        </w:rPr>
        <w:t>1</w:t>
      </w:r>
      <w:r>
        <w:rPr>
          <w:rFonts w:ascii="Times New Roman" w:hAnsi="Times New Roman" w:eastAsia="方正仿宋_GBK"/>
          <w:sz w:val="30"/>
          <w:szCs w:val="30"/>
        </w:rPr>
        <w:t>4.20亿千瓦时，占全社会用电量比重为9.</w:t>
      </w:r>
      <w:r>
        <w:rPr>
          <w:rFonts w:hint="eastAsia" w:ascii="Times New Roman" w:hAnsi="Times New Roman" w:eastAsia="方正仿宋_GBK"/>
          <w:sz w:val="30"/>
          <w:szCs w:val="30"/>
        </w:rPr>
        <w:t>2</w:t>
      </w:r>
      <w:r>
        <w:rPr>
          <w:rFonts w:ascii="Times New Roman" w:hAnsi="Times New Roman" w:eastAsia="方正仿宋_GBK"/>
          <w:sz w:val="30"/>
          <w:szCs w:val="30"/>
        </w:rPr>
        <w:t>%，同比上升1.</w:t>
      </w:r>
      <w:r>
        <w:rPr>
          <w:rFonts w:hint="eastAsia" w:ascii="Times New Roman" w:hAnsi="Times New Roman" w:eastAsia="方正仿宋_GBK"/>
          <w:sz w:val="30"/>
          <w:szCs w:val="30"/>
        </w:rPr>
        <w:t>2</w:t>
      </w:r>
      <w:r>
        <w:rPr>
          <w:rFonts w:ascii="Times New Roman" w:hAnsi="Times New Roman" w:eastAsia="方正仿宋_GBK"/>
          <w:sz w:val="30"/>
          <w:szCs w:val="30"/>
        </w:rPr>
        <w:t>个百分点。综合考虑各省（区、市）本地生产、本地利用以及外</w:t>
      </w:r>
      <w:r>
        <w:rPr>
          <w:rFonts w:hint="eastAsia" w:ascii="Times New Roman" w:hAnsi="Times New Roman" w:eastAsia="方正仿宋_GBK"/>
          <w:sz w:val="30"/>
          <w:szCs w:val="30"/>
        </w:rPr>
        <w:t>来</w:t>
      </w:r>
      <w:r>
        <w:rPr>
          <w:rFonts w:ascii="Times New Roman" w:hAnsi="Times New Roman" w:eastAsia="方正仿宋_GBK"/>
          <w:sz w:val="30"/>
          <w:szCs w:val="30"/>
        </w:rPr>
        <w:t>电力消纳情况，2018年，各省（区、市）非水电可再生能源电力消纳量占本地区全社会用电量比重如表2。</w:t>
      </w:r>
    </w:p>
    <w:p>
      <w:pPr>
        <w:spacing w:line="600" w:lineRule="exact"/>
        <w:ind w:firstLine="600" w:firstLineChars="200"/>
        <w:rPr>
          <w:rFonts w:ascii="Times New Roman" w:hAnsi="Times New Roman" w:eastAsia="方正仿宋_GBK"/>
          <w:sz w:val="30"/>
          <w:szCs w:val="30"/>
        </w:rPr>
      </w:pPr>
      <w:r>
        <w:rPr>
          <w:rFonts w:hint="eastAsia" w:ascii="Times New Roman" w:hAnsi="Times New Roman" w:eastAsia="方正仿宋_GBK"/>
          <w:sz w:val="30"/>
          <w:szCs w:val="30"/>
        </w:rPr>
        <w:t>从非水电可再生能源电力消纳比重水平来看，宁夏、青海、内蒙古和吉林最高，均超过17%；从消纳水平同比增长来看，湖南、陕西和西藏三省（区）同比增长较快，分别上升3.0个百分点、2.9个百分点和2.9个百分点；按照国家发展改革委、国家能源局《关于建立健全可再生能源电力消纳保障机制的通知》（发改能源〔2019〕807号）公布的2020年各省（区、市）非水电可再生能源电力最低消纳责任权重，云南、宁夏、新疆等</w:t>
      </w:r>
      <w:r>
        <w:rPr>
          <w:rFonts w:ascii="Times New Roman" w:hAnsi="Times New Roman" w:eastAsia="方正仿宋_GBK"/>
          <w:sz w:val="30"/>
          <w:szCs w:val="30"/>
        </w:rPr>
        <w:t>11</w:t>
      </w:r>
      <w:r>
        <w:rPr>
          <w:rFonts w:hint="eastAsia" w:ascii="Times New Roman" w:hAnsi="Times New Roman" w:eastAsia="方正仿宋_GBK"/>
          <w:sz w:val="30"/>
          <w:szCs w:val="30"/>
        </w:rPr>
        <w:t>个省（区、市）非水电可再生能源消纳比重已达到2020年最低消纳责任权重，江苏、广东、安徽、贵州、山东、内蒙古和广西距离达到2020年最低消纳责任权重不到1个百分点，京津冀、黑龙江、甘肃和青海非水电可再生能源电力消纳比重较2020年最低消纳权重仍有较大差距。</w:t>
      </w:r>
    </w:p>
    <w:p>
      <w:pPr>
        <w:spacing w:line="600" w:lineRule="exact"/>
        <w:ind w:firstLine="600" w:firstLineChars="200"/>
        <w:rPr>
          <w:rFonts w:ascii="Times New Roman" w:hAnsi="Times New Roman" w:eastAsia="方正仿宋_GBK"/>
          <w:sz w:val="30"/>
          <w:szCs w:val="30"/>
        </w:rPr>
      </w:pPr>
    </w:p>
    <w:p>
      <w:pPr>
        <w:spacing w:line="600" w:lineRule="exact"/>
        <w:ind w:firstLine="600" w:firstLineChars="200"/>
        <w:rPr>
          <w:rFonts w:ascii="Times New Roman" w:hAnsi="Times New Roman" w:eastAsia="方正仿宋_GBK"/>
          <w:sz w:val="30"/>
          <w:szCs w:val="30"/>
        </w:rPr>
      </w:pPr>
    </w:p>
    <w:p>
      <w:pPr>
        <w:pStyle w:val="16"/>
        <w:rPr>
          <w:rFonts w:hAnsi="黑体" w:eastAsia="黑体"/>
        </w:rPr>
      </w:pPr>
    </w:p>
    <w:p>
      <w:pPr>
        <w:pStyle w:val="16"/>
        <w:rPr>
          <w:rFonts w:eastAsia="黑体"/>
        </w:rPr>
      </w:pPr>
      <w:r>
        <w:rPr>
          <w:rFonts w:hAnsi="黑体" w:eastAsia="黑体"/>
        </w:rPr>
        <w:t>表</w:t>
      </w:r>
      <w:r>
        <w:rPr>
          <w:rFonts w:eastAsia="黑体"/>
        </w:rPr>
        <w:t>2  2018</w:t>
      </w:r>
      <w:r>
        <w:rPr>
          <w:rFonts w:hAnsi="黑体" w:eastAsia="黑体"/>
        </w:rPr>
        <w:t>年各省（区、市）非水电可再生能源电力消纳情况</w:t>
      </w:r>
    </w:p>
    <w:tbl>
      <w:tblPr>
        <w:tblW w:w="87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080"/>
        <w:gridCol w:w="1720"/>
        <w:gridCol w:w="1306"/>
        <w:gridCol w:w="1134"/>
        <w:gridCol w:w="1701"/>
        <w:gridCol w:w="17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20"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color w:val="000000"/>
                <w:kern w:val="0"/>
                <w:sz w:val="22"/>
              </w:rPr>
            </w:pPr>
            <w:r>
              <w:rPr>
                <w:rFonts w:ascii="宋体" w:hAnsi="宋体"/>
                <w:b/>
                <w:bCs/>
                <w:color w:val="000000"/>
                <w:kern w:val="0"/>
                <w:sz w:val="22"/>
              </w:rPr>
              <w:t>省（区、市）</w:t>
            </w:r>
          </w:p>
        </w:tc>
        <w:tc>
          <w:tcPr>
            <w:tcW w:w="1720"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color w:val="000000"/>
                <w:kern w:val="0"/>
                <w:sz w:val="22"/>
              </w:rPr>
            </w:pPr>
            <w:r>
              <w:rPr>
                <w:rFonts w:ascii="宋体" w:hAnsi="宋体"/>
                <w:b/>
                <w:bCs/>
                <w:color w:val="000000"/>
                <w:kern w:val="0"/>
                <w:sz w:val="22"/>
              </w:rPr>
              <w:t>非水电可再生能源电力消纳量（亿千瓦时）</w:t>
            </w:r>
          </w:p>
        </w:tc>
        <w:tc>
          <w:tcPr>
            <w:tcW w:w="1306"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color w:val="000000"/>
                <w:kern w:val="0"/>
                <w:sz w:val="22"/>
              </w:rPr>
            </w:pPr>
            <w:r>
              <w:rPr>
                <w:rFonts w:ascii="宋体" w:hAnsi="宋体"/>
                <w:b/>
                <w:bCs/>
                <w:color w:val="000000"/>
                <w:kern w:val="0"/>
                <w:sz w:val="22"/>
              </w:rPr>
              <w:t>非水电可再生能源电力消纳比重</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color w:val="000000"/>
                <w:kern w:val="0"/>
                <w:sz w:val="22"/>
              </w:rPr>
            </w:pPr>
            <w:r>
              <w:rPr>
                <w:rFonts w:ascii="宋体" w:hAnsi="宋体"/>
                <w:b/>
                <w:bCs/>
                <w:color w:val="000000"/>
                <w:kern w:val="0"/>
                <w:sz w:val="22"/>
              </w:rPr>
              <w:t>同比增加百分点</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color w:val="000000"/>
                <w:kern w:val="0"/>
                <w:sz w:val="22"/>
              </w:rPr>
            </w:pPr>
            <w:r>
              <w:rPr>
                <w:rFonts w:hint="eastAsia" w:ascii="宋体" w:hAnsi="宋体"/>
                <w:b/>
                <w:bCs/>
                <w:color w:val="000000"/>
                <w:kern w:val="0"/>
                <w:sz w:val="22"/>
              </w:rPr>
              <w:t>2020年最低消纳责任权重</w:t>
            </w:r>
          </w:p>
        </w:tc>
        <w:tc>
          <w:tcPr>
            <w:tcW w:w="1759"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color w:val="000000"/>
                <w:kern w:val="0"/>
                <w:sz w:val="22"/>
              </w:rPr>
            </w:pPr>
            <w:r>
              <w:rPr>
                <w:rFonts w:ascii="宋体" w:hAnsi="宋体"/>
                <w:b/>
                <w:bCs/>
                <w:color w:val="000000"/>
                <w:kern w:val="0"/>
                <w:sz w:val="22"/>
              </w:rPr>
              <w:t>2020年</w:t>
            </w:r>
            <w:r>
              <w:rPr>
                <w:rFonts w:hint="eastAsia" w:ascii="宋体" w:hAnsi="宋体"/>
                <w:b/>
                <w:bCs/>
                <w:color w:val="000000"/>
                <w:kern w:val="0"/>
                <w:sz w:val="22"/>
              </w:rPr>
              <w:t>最低消纳责任</w:t>
            </w:r>
            <w:r>
              <w:rPr>
                <w:rFonts w:ascii="宋体" w:hAnsi="宋体"/>
                <w:b/>
                <w:bCs/>
                <w:color w:val="000000"/>
                <w:kern w:val="0"/>
                <w:sz w:val="22"/>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bottom"/>
          </w:tcPr>
          <w:p>
            <w:pPr>
              <w:widowControl/>
              <w:jc w:val="center"/>
              <w:rPr>
                <w:rFonts w:ascii="Arial" w:hAnsi="Arial" w:cs="Arial"/>
                <w:color w:val="000000"/>
                <w:kern w:val="0"/>
                <w:szCs w:val="21"/>
              </w:rPr>
            </w:pPr>
            <w:r>
              <w:rPr>
                <w:rFonts w:ascii="Arial" w:hAnsi="Arial" w:cs="Arial"/>
                <w:color w:val="000000"/>
                <w:szCs w:val="21"/>
              </w:rPr>
              <w:t>云南</w:t>
            </w:r>
          </w:p>
        </w:tc>
        <w:tc>
          <w:tcPr>
            <w:tcW w:w="1720"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261.86</w:t>
            </w:r>
          </w:p>
        </w:tc>
        <w:tc>
          <w:tcPr>
            <w:tcW w:w="1306"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15.6%</w:t>
            </w:r>
          </w:p>
        </w:tc>
        <w:tc>
          <w:tcPr>
            <w:tcW w:w="1134"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1.4</w:t>
            </w:r>
          </w:p>
        </w:tc>
        <w:tc>
          <w:tcPr>
            <w:tcW w:w="1701"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11.5%</w:t>
            </w:r>
          </w:p>
        </w:tc>
        <w:tc>
          <w:tcPr>
            <w:tcW w:w="1759"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bottom"/>
          </w:tcPr>
          <w:p>
            <w:pPr>
              <w:jc w:val="center"/>
              <w:rPr>
                <w:rFonts w:ascii="Arial" w:hAnsi="Arial" w:cs="Arial"/>
                <w:color w:val="000000"/>
                <w:szCs w:val="21"/>
              </w:rPr>
            </w:pPr>
            <w:r>
              <w:rPr>
                <w:rFonts w:ascii="Arial" w:hAnsi="Arial" w:cs="Arial"/>
                <w:color w:val="000000"/>
                <w:szCs w:val="21"/>
              </w:rPr>
              <w:t>宁夏</w:t>
            </w:r>
          </w:p>
        </w:tc>
        <w:tc>
          <w:tcPr>
            <w:tcW w:w="1720"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237.47</w:t>
            </w:r>
          </w:p>
        </w:tc>
        <w:tc>
          <w:tcPr>
            <w:tcW w:w="1306"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22.3%</w:t>
            </w:r>
          </w:p>
        </w:tc>
        <w:tc>
          <w:tcPr>
            <w:tcW w:w="1134"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1.3</w:t>
            </w:r>
          </w:p>
        </w:tc>
        <w:tc>
          <w:tcPr>
            <w:tcW w:w="1701"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20.0%</w:t>
            </w:r>
          </w:p>
        </w:tc>
        <w:tc>
          <w:tcPr>
            <w:tcW w:w="1759"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bottom"/>
          </w:tcPr>
          <w:p>
            <w:pPr>
              <w:jc w:val="center"/>
              <w:rPr>
                <w:rFonts w:ascii="Arial" w:hAnsi="Arial" w:cs="Arial"/>
                <w:color w:val="000000"/>
                <w:szCs w:val="21"/>
              </w:rPr>
            </w:pPr>
            <w:r>
              <w:rPr>
                <w:rFonts w:ascii="Arial" w:hAnsi="Arial" w:cs="Arial"/>
                <w:color w:val="000000"/>
                <w:szCs w:val="21"/>
              </w:rPr>
              <w:t>新疆</w:t>
            </w:r>
          </w:p>
        </w:tc>
        <w:tc>
          <w:tcPr>
            <w:tcW w:w="1720"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315.17</w:t>
            </w:r>
          </w:p>
        </w:tc>
        <w:tc>
          <w:tcPr>
            <w:tcW w:w="1306"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14.7%</w:t>
            </w:r>
          </w:p>
        </w:tc>
        <w:tc>
          <w:tcPr>
            <w:tcW w:w="1134"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1.6</w:t>
            </w:r>
          </w:p>
        </w:tc>
        <w:tc>
          <w:tcPr>
            <w:tcW w:w="1701"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13.0%</w:t>
            </w:r>
          </w:p>
        </w:tc>
        <w:tc>
          <w:tcPr>
            <w:tcW w:w="1759"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bottom"/>
          </w:tcPr>
          <w:p>
            <w:pPr>
              <w:jc w:val="center"/>
              <w:rPr>
                <w:rFonts w:ascii="Arial" w:hAnsi="Arial" w:cs="Arial"/>
                <w:color w:val="000000"/>
                <w:szCs w:val="21"/>
              </w:rPr>
            </w:pPr>
            <w:r>
              <w:rPr>
                <w:rFonts w:ascii="Arial" w:hAnsi="Arial" w:cs="Arial"/>
                <w:color w:val="000000"/>
                <w:szCs w:val="21"/>
              </w:rPr>
              <w:t>辽宁</w:t>
            </w:r>
          </w:p>
        </w:tc>
        <w:tc>
          <w:tcPr>
            <w:tcW w:w="1720"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269.82</w:t>
            </w:r>
          </w:p>
        </w:tc>
        <w:tc>
          <w:tcPr>
            <w:tcW w:w="1306"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11.7%</w:t>
            </w:r>
          </w:p>
        </w:tc>
        <w:tc>
          <w:tcPr>
            <w:tcW w:w="1134"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2.5</w:t>
            </w:r>
          </w:p>
        </w:tc>
        <w:tc>
          <w:tcPr>
            <w:tcW w:w="1701"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10.5%</w:t>
            </w:r>
          </w:p>
        </w:tc>
        <w:tc>
          <w:tcPr>
            <w:tcW w:w="1759"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bottom"/>
          </w:tcPr>
          <w:p>
            <w:pPr>
              <w:jc w:val="center"/>
              <w:rPr>
                <w:rFonts w:ascii="Arial" w:hAnsi="Arial" w:cs="Arial"/>
                <w:color w:val="000000"/>
                <w:szCs w:val="21"/>
              </w:rPr>
            </w:pPr>
            <w:r>
              <w:rPr>
                <w:rFonts w:ascii="Arial" w:hAnsi="Arial" w:cs="Arial"/>
                <w:color w:val="000000"/>
                <w:szCs w:val="21"/>
              </w:rPr>
              <w:t>四川</w:t>
            </w:r>
          </w:p>
        </w:tc>
        <w:tc>
          <w:tcPr>
            <w:tcW w:w="1720"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107.70</w:t>
            </w:r>
          </w:p>
        </w:tc>
        <w:tc>
          <w:tcPr>
            <w:tcW w:w="1306"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4.4%</w:t>
            </w:r>
          </w:p>
        </w:tc>
        <w:tc>
          <w:tcPr>
            <w:tcW w:w="1134"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1.1</w:t>
            </w:r>
          </w:p>
        </w:tc>
        <w:tc>
          <w:tcPr>
            <w:tcW w:w="1701"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3.5%</w:t>
            </w:r>
          </w:p>
        </w:tc>
        <w:tc>
          <w:tcPr>
            <w:tcW w:w="1759"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bottom"/>
          </w:tcPr>
          <w:p>
            <w:pPr>
              <w:jc w:val="center"/>
              <w:rPr>
                <w:rFonts w:ascii="Arial" w:hAnsi="Arial" w:cs="Arial"/>
                <w:color w:val="000000"/>
                <w:szCs w:val="21"/>
              </w:rPr>
            </w:pPr>
            <w:r>
              <w:rPr>
                <w:rFonts w:ascii="Arial" w:hAnsi="Arial" w:cs="Arial"/>
                <w:color w:val="000000"/>
                <w:szCs w:val="21"/>
              </w:rPr>
              <w:t>江西</w:t>
            </w:r>
          </w:p>
        </w:tc>
        <w:tc>
          <w:tcPr>
            <w:tcW w:w="1720"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123.07</w:t>
            </w:r>
          </w:p>
        </w:tc>
        <w:tc>
          <w:tcPr>
            <w:tcW w:w="1306"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8.6%</w:t>
            </w:r>
          </w:p>
        </w:tc>
        <w:tc>
          <w:tcPr>
            <w:tcW w:w="1134"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2.1</w:t>
            </w:r>
          </w:p>
        </w:tc>
        <w:tc>
          <w:tcPr>
            <w:tcW w:w="1701"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8.0%</w:t>
            </w:r>
          </w:p>
        </w:tc>
        <w:tc>
          <w:tcPr>
            <w:tcW w:w="1759"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bottom"/>
          </w:tcPr>
          <w:p>
            <w:pPr>
              <w:jc w:val="center"/>
              <w:rPr>
                <w:rFonts w:ascii="Arial" w:hAnsi="Arial" w:cs="Arial"/>
                <w:color w:val="000000"/>
                <w:szCs w:val="21"/>
              </w:rPr>
            </w:pPr>
            <w:r>
              <w:rPr>
                <w:rFonts w:ascii="Arial" w:hAnsi="Arial" w:cs="Arial"/>
                <w:color w:val="000000"/>
                <w:szCs w:val="21"/>
              </w:rPr>
              <w:t>吉林</w:t>
            </w:r>
          </w:p>
        </w:tc>
        <w:tc>
          <w:tcPr>
            <w:tcW w:w="1720"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127.59</w:t>
            </w:r>
          </w:p>
        </w:tc>
        <w:tc>
          <w:tcPr>
            <w:tcW w:w="1306"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17.0%</w:t>
            </w:r>
          </w:p>
        </w:tc>
        <w:tc>
          <w:tcPr>
            <w:tcW w:w="1134"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0.6</w:t>
            </w:r>
          </w:p>
        </w:tc>
        <w:tc>
          <w:tcPr>
            <w:tcW w:w="1701"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16.5%</w:t>
            </w:r>
          </w:p>
        </w:tc>
        <w:tc>
          <w:tcPr>
            <w:tcW w:w="1759"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bottom"/>
          </w:tcPr>
          <w:p>
            <w:pPr>
              <w:jc w:val="center"/>
              <w:rPr>
                <w:rFonts w:ascii="Arial" w:hAnsi="Arial" w:cs="Arial"/>
                <w:color w:val="000000"/>
                <w:szCs w:val="21"/>
              </w:rPr>
            </w:pPr>
            <w:r>
              <w:rPr>
                <w:rFonts w:ascii="Arial" w:hAnsi="Arial" w:cs="Arial"/>
                <w:color w:val="000000"/>
                <w:szCs w:val="21"/>
              </w:rPr>
              <w:t>重庆</w:t>
            </w:r>
          </w:p>
        </w:tc>
        <w:tc>
          <w:tcPr>
            <w:tcW w:w="1720"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32.59</w:t>
            </w:r>
          </w:p>
        </w:tc>
        <w:tc>
          <w:tcPr>
            <w:tcW w:w="1306"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2.9%</w:t>
            </w:r>
          </w:p>
        </w:tc>
        <w:tc>
          <w:tcPr>
            <w:tcW w:w="1134"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0.5</w:t>
            </w:r>
          </w:p>
        </w:tc>
        <w:tc>
          <w:tcPr>
            <w:tcW w:w="1701"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2.5%</w:t>
            </w:r>
          </w:p>
        </w:tc>
        <w:tc>
          <w:tcPr>
            <w:tcW w:w="1759"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bottom"/>
          </w:tcPr>
          <w:p>
            <w:pPr>
              <w:jc w:val="center"/>
              <w:rPr>
                <w:rFonts w:ascii="Arial" w:hAnsi="Arial" w:cs="Arial"/>
                <w:color w:val="000000"/>
                <w:szCs w:val="21"/>
              </w:rPr>
            </w:pPr>
            <w:r>
              <w:rPr>
                <w:rFonts w:ascii="Arial" w:hAnsi="Arial" w:cs="Arial"/>
                <w:color w:val="000000"/>
                <w:szCs w:val="21"/>
              </w:rPr>
              <w:t>上海</w:t>
            </w:r>
          </w:p>
        </w:tc>
        <w:tc>
          <w:tcPr>
            <w:tcW w:w="1720"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51.93</w:t>
            </w:r>
          </w:p>
        </w:tc>
        <w:tc>
          <w:tcPr>
            <w:tcW w:w="1306"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3.3%</w:t>
            </w:r>
          </w:p>
        </w:tc>
        <w:tc>
          <w:tcPr>
            <w:tcW w:w="1134"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0.6</w:t>
            </w:r>
          </w:p>
        </w:tc>
        <w:tc>
          <w:tcPr>
            <w:tcW w:w="1701"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3.0%</w:t>
            </w:r>
          </w:p>
        </w:tc>
        <w:tc>
          <w:tcPr>
            <w:tcW w:w="1759"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bottom"/>
          </w:tcPr>
          <w:p>
            <w:pPr>
              <w:jc w:val="center"/>
              <w:rPr>
                <w:rFonts w:ascii="Arial" w:hAnsi="Arial" w:cs="Arial"/>
                <w:color w:val="000000"/>
                <w:szCs w:val="21"/>
              </w:rPr>
            </w:pPr>
            <w:r>
              <w:rPr>
                <w:rFonts w:ascii="Arial" w:hAnsi="Arial" w:cs="Arial"/>
                <w:color w:val="000000"/>
                <w:szCs w:val="21"/>
              </w:rPr>
              <w:t>海南</w:t>
            </w:r>
          </w:p>
        </w:tc>
        <w:tc>
          <w:tcPr>
            <w:tcW w:w="1720"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16.97</w:t>
            </w:r>
          </w:p>
        </w:tc>
        <w:tc>
          <w:tcPr>
            <w:tcW w:w="1306"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5.2%</w:t>
            </w:r>
          </w:p>
        </w:tc>
        <w:tc>
          <w:tcPr>
            <w:tcW w:w="1134"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0.5</w:t>
            </w:r>
          </w:p>
        </w:tc>
        <w:tc>
          <w:tcPr>
            <w:tcW w:w="1701"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5.0%</w:t>
            </w:r>
          </w:p>
        </w:tc>
        <w:tc>
          <w:tcPr>
            <w:tcW w:w="1759"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bottom"/>
          </w:tcPr>
          <w:p>
            <w:pPr>
              <w:jc w:val="center"/>
              <w:rPr>
                <w:rFonts w:ascii="Arial" w:hAnsi="Arial" w:cs="Arial"/>
                <w:color w:val="000000"/>
                <w:szCs w:val="21"/>
              </w:rPr>
            </w:pPr>
            <w:r>
              <w:rPr>
                <w:rFonts w:ascii="Arial" w:hAnsi="Arial" w:cs="Arial"/>
                <w:color w:val="000000"/>
                <w:szCs w:val="21"/>
              </w:rPr>
              <w:t>山西</w:t>
            </w:r>
          </w:p>
        </w:tc>
        <w:tc>
          <w:tcPr>
            <w:tcW w:w="1720"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312.35</w:t>
            </w:r>
          </w:p>
        </w:tc>
        <w:tc>
          <w:tcPr>
            <w:tcW w:w="1306"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14.5%</w:t>
            </w:r>
          </w:p>
        </w:tc>
        <w:tc>
          <w:tcPr>
            <w:tcW w:w="1134"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2.5</w:t>
            </w:r>
          </w:p>
        </w:tc>
        <w:tc>
          <w:tcPr>
            <w:tcW w:w="1701"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14.5%</w:t>
            </w:r>
          </w:p>
        </w:tc>
        <w:tc>
          <w:tcPr>
            <w:tcW w:w="1759"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bottom"/>
          </w:tcPr>
          <w:p>
            <w:pPr>
              <w:jc w:val="center"/>
              <w:rPr>
                <w:rFonts w:ascii="Arial" w:hAnsi="Arial" w:cs="Arial"/>
                <w:color w:val="000000"/>
                <w:szCs w:val="21"/>
              </w:rPr>
            </w:pPr>
            <w:r>
              <w:rPr>
                <w:rFonts w:ascii="Arial" w:hAnsi="Arial" w:cs="Arial"/>
                <w:color w:val="000000"/>
                <w:szCs w:val="21"/>
              </w:rPr>
              <w:t>江苏</w:t>
            </w:r>
          </w:p>
        </w:tc>
        <w:tc>
          <w:tcPr>
            <w:tcW w:w="1720"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427.43</w:t>
            </w:r>
          </w:p>
        </w:tc>
        <w:tc>
          <w:tcPr>
            <w:tcW w:w="1306"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7.0%</w:t>
            </w:r>
          </w:p>
        </w:tc>
        <w:tc>
          <w:tcPr>
            <w:tcW w:w="1134"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1.6</w:t>
            </w:r>
          </w:p>
        </w:tc>
        <w:tc>
          <w:tcPr>
            <w:tcW w:w="1701"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7.5%</w:t>
            </w:r>
          </w:p>
        </w:tc>
        <w:tc>
          <w:tcPr>
            <w:tcW w:w="1759"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bottom"/>
          </w:tcPr>
          <w:p>
            <w:pPr>
              <w:jc w:val="center"/>
              <w:rPr>
                <w:rFonts w:ascii="Arial" w:hAnsi="Arial" w:cs="Arial"/>
                <w:color w:val="000000"/>
                <w:szCs w:val="21"/>
              </w:rPr>
            </w:pPr>
            <w:r>
              <w:rPr>
                <w:rFonts w:ascii="Arial" w:hAnsi="Arial" w:cs="Arial"/>
                <w:color w:val="000000"/>
                <w:szCs w:val="21"/>
              </w:rPr>
              <w:t>广东</w:t>
            </w:r>
          </w:p>
        </w:tc>
        <w:tc>
          <w:tcPr>
            <w:tcW w:w="1720"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221.08</w:t>
            </w:r>
          </w:p>
        </w:tc>
        <w:tc>
          <w:tcPr>
            <w:tcW w:w="1306"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3.5%</w:t>
            </w:r>
          </w:p>
        </w:tc>
        <w:tc>
          <w:tcPr>
            <w:tcW w:w="1134"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0.3</w:t>
            </w:r>
          </w:p>
        </w:tc>
        <w:tc>
          <w:tcPr>
            <w:tcW w:w="1701"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4.0%</w:t>
            </w:r>
          </w:p>
        </w:tc>
        <w:tc>
          <w:tcPr>
            <w:tcW w:w="1759"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bottom"/>
          </w:tcPr>
          <w:p>
            <w:pPr>
              <w:jc w:val="center"/>
              <w:rPr>
                <w:rFonts w:ascii="Arial" w:hAnsi="Arial" w:cs="Arial"/>
                <w:color w:val="000000"/>
                <w:szCs w:val="21"/>
              </w:rPr>
            </w:pPr>
            <w:r>
              <w:rPr>
                <w:rFonts w:ascii="Arial" w:hAnsi="Arial" w:cs="Arial"/>
                <w:color w:val="000000"/>
                <w:szCs w:val="21"/>
              </w:rPr>
              <w:t>安徽</w:t>
            </w:r>
          </w:p>
        </w:tc>
        <w:tc>
          <w:tcPr>
            <w:tcW w:w="1720"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235.82</w:t>
            </w:r>
          </w:p>
        </w:tc>
        <w:tc>
          <w:tcPr>
            <w:tcW w:w="1306"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11.0%</w:t>
            </w:r>
          </w:p>
        </w:tc>
        <w:tc>
          <w:tcPr>
            <w:tcW w:w="1134"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2.2</w:t>
            </w:r>
          </w:p>
        </w:tc>
        <w:tc>
          <w:tcPr>
            <w:tcW w:w="1701"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11.5%</w:t>
            </w:r>
          </w:p>
        </w:tc>
        <w:tc>
          <w:tcPr>
            <w:tcW w:w="1759"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bottom"/>
          </w:tcPr>
          <w:p>
            <w:pPr>
              <w:jc w:val="center"/>
              <w:rPr>
                <w:rFonts w:ascii="Arial" w:hAnsi="Arial" w:cs="Arial"/>
                <w:color w:val="000000"/>
                <w:szCs w:val="21"/>
              </w:rPr>
            </w:pPr>
            <w:r>
              <w:rPr>
                <w:rFonts w:ascii="Arial" w:hAnsi="Arial" w:cs="Arial"/>
                <w:color w:val="000000"/>
                <w:szCs w:val="21"/>
              </w:rPr>
              <w:t>贵州</w:t>
            </w:r>
          </w:p>
        </w:tc>
        <w:tc>
          <w:tcPr>
            <w:tcW w:w="1720"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66.68</w:t>
            </w:r>
          </w:p>
        </w:tc>
        <w:tc>
          <w:tcPr>
            <w:tcW w:w="1306"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4.5%</w:t>
            </w:r>
          </w:p>
        </w:tc>
        <w:tc>
          <w:tcPr>
            <w:tcW w:w="1134"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0.2</w:t>
            </w:r>
          </w:p>
        </w:tc>
        <w:tc>
          <w:tcPr>
            <w:tcW w:w="1701"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5.0%</w:t>
            </w:r>
          </w:p>
        </w:tc>
        <w:tc>
          <w:tcPr>
            <w:tcW w:w="1759"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bottom"/>
          </w:tcPr>
          <w:p>
            <w:pPr>
              <w:jc w:val="center"/>
              <w:rPr>
                <w:rFonts w:ascii="Arial" w:hAnsi="Arial" w:cs="Arial"/>
                <w:color w:val="000000"/>
                <w:szCs w:val="21"/>
              </w:rPr>
            </w:pPr>
            <w:r>
              <w:rPr>
                <w:rFonts w:ascii="Arial" w:hAnsi="Arial" w:cs="Arial"/>
                <w:color w:val="000000"/>
                <w:szCs w:val="21"/>
              </w:rPr>
              <w:t>山东</w:t>
            </w:r>
          </w:p>
        </w:tc>
        <w:tc>
          <w:tcPr>
            <w:tcW w:w="1720"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555.62</w:t>
            </w:r>
          </w:p>
        </w:tc>
        <w:tc>
          <w:tcPr>
            <w:tcW w:w="1306"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9.4%</w:t>
            </w:r>
          </w:p>
        </w:tc>
        <w:tc>
          <w:tcPr>
            <w:tcW w:w="1134"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2.5</w:t>
            </w:r>
          </w:p>
        </w:tc>
        <w:tc>
          <w:tcPr>
            <w:tcW w:w="1701"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10.0%</w:t>
            </w:r>
          </w:p>
        </w:tc>
        <w:tc>
          <w:tcPr>
            <w:tcW w:w="1759"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bottom"/>
          </w:tcPr>
          <w:p>
            <w:pPr>
              <w:jc w:val="center"/>
              <w:rPr>
                <w:rFonts w:ascii="Arial" w:hAnsi="Arial" w:cs="Arial"/>
                <w:color w:val="000000"/>
                <w:szCs w:val="21"/>
              </w:rPr>
            </w:pPr>
            <w:r>
              <w:rPr>
                <w:rFonts w:ascii="Arial" w:hAnsi="Arial" w:cs="Arial"/>
                <w:color w:val="000000"/>
                <w:szCs w:val="21"/>
              </w:rPr>
              <w:t>内蒙古</w:t>
            </w:r>
          </w:p>
        </w:tc>
        <w:tc>
          <w:tcPr>
            <w:tcW w:w="1720"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579.28</w:t>
            </w:r>
          </w:p>
        </w:tc>
        <w:tc>
          <w:tcPr>
            <w:tcW w:w="1306"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17.3%</w:t>
            </w:r>
          </w:p>
        </w:tc>
        <w:tc>
          <w:tcPr>
            <w:tcW w:w="1134"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-1.0</w:t>
            </w:r>
          </w:p>
        </w:tc>
        <w:tc>
          <w:tcPr>
            <w:tcW w:w="1701"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18.0%</w:t>
            </w:r>
          </w:p>
        </w:tc>
        <w:tc>
          <w:tcPr>
            <w:tcW w:w="1759"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bottom"/>
          </w:tcPr>
          <w:p>
            <w:pPr>
              <w:jc w:val="center"/>
              <w:rPr>
                <w:rFonts w:ascii="Arial" w:hAnsi="Arial" w:cs="Arial"/>
                <w:color w:val="000000"/>
                <w:szCs w:val="21"/>
              </w:rPr>
            </w:pPr>
            <w:r>
              <w:rPr>
                <w:rFonts w:ascii="Arial" w:hAnsi="Arial" w:cs="Arial"/>
                <w:color w:val="000000"/>
                <w:szCs w:val="21"/>
              </w:rPr>
              <w:t>广西</w:t>
            </w:r>
          </w:p>
        </w:tc>
        <w:tc>
          <w:tcPr>
            <w:tcW w:w="1720"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71.35</w:t>
            </w:r>
          </w:p>
        </w:tc>
        <w:tc>
          <w:tcPr>
            <w:tcW w:w="1306"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4.2%</w:t>
            </w:r>
          </w:p>
        </w:tc>
        <w:tc>
          <w:tcPr>
            <w:tcW w:w="1134"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1.2</w:t>
            </w:r>
          </w:p>
        </w:tc>
        <w:tc>
          <w:tcPr>
            <w:tcW w:w="1701"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5.0%</w:t>
            </w:r>
          </w:p>
        </w:tc>
        <w:tc>
          <w:tcPr>
            <w:tcW w:w="1759"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bottom"/>
          </w:tcPr>
          <w:p>
            <w:pPr>
              <w:jc w:val="center"/>
              <w:rPr>
                <w:rFonts w:ascii="Arial" w:hAnsi="Arial" w:cs="Arial"/>
                <w:color w:val="000000"/>
                <w:szCs w:val="21"/>
              </w:rPr>
            </w:pPr>
            <w:r>
              <w:rPr>
                <w:rFonts w:ascii="Arial" w:hAnsi="Arial" w:cs="Arial"/>
                <w:color w:val="000000"/>
                <w:szCs w:val="21"/>
              </w:rPr>
              <w:t>福建</w:t>
            </w:r>
          </w:p>
        </w:tc>
        <w:tc>
          <w:tcPr>
            <w:tcW w:w="1720"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114.44</w:t>
            </w:r>
          </w:p>
        </w:tc>
        <w:tc>
          <w:tcPr>
            <w:tcW w:w="1306"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4.9%</w:t>
            </w:r>
          </w:p>
        </w:tc>
        <w:tc>
          <w:tcPr>
            <w:tcW w:w="1134"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0.4</w:t>
            </w:r>
          </w:p>
        </w:tc>
        <w:tc>
          <w:tcPr>
            <w:tcW w:w="1701"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6.0%</w:t>
            </w:r>
          </w:p>
        </w:tc>
        <w:tc>
          <w:tcPr>
            <w:tcW w:w="1759"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bottom"/>
          </w:tcPr>
          <w:p>
            <w:pPr>
              <w:jc w:val="center"/>
              <w:rPr>
                <w:rFonts w:ascii="Arial" w:hAnsi="Arial" w:cs="Arial"/>
                <w:color w:val="000000"/>
                <w:szCs w:val="21"/>
              </w:rPr>
            </w:pPr>
            <w:r>
              <w:rPr>
                <w:rFonts w:ascii="Arial" w:hAnsi="Arial" w:cs="Arial"/>
                <w:color w:val="000000"/>
                <w:szCs w:val="21"/>
              </w:rPr>
              <w:t>河南</w:t>
            </w:r>
          </w:p>
        </w:tc>
        <w:tc>
          <w:tcPr>
            <w:tcW w:w="1720"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322.05</w:t>
            </w:r>
          </w:p>
        </w:tc>
        <w:tc>
          <w:tcPr>
            <w:tcW w:w="1306"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9.4%</w:t>
            </w:r>
          </w:p>
        </w:tc>
        <w:tc>
          <w:tcPr>
            <w:tcW w:w="1134"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1.3</w:t>
            </w:r>
          </w:p>
        </w:tc>
        <w:tc>
          <w:tcPr>
            <w:tcW w:w="1701"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10.5%</w:t>
            </w:r>
          </w:p>
        </w:tc>
        <w:tc>
          <w:tcPr>
            <w:tcW w:w="1759"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bottom"/>
          </w:tcPr>
          <w:p>
            <w:pPr>
              <w:jc w:val="center"/>
              <w:rPr>
                <w:rFonts w:ascii="Arial" w:hAnsi="Arial" w:cs="Arial"/>
                <w:color w:val="000000"/>
                <w:szCs w:val="21"/>
              </w:rPr>
            </w:pPr>
            <w:r>
              <w:rPr>
                <w:rFonts w:ascii="Arial" w:hAnsi="Arial" w:cs="Arial"/>
                <w:color w:val="000000"/>
                <w:szCs w:val="21"/>
              </w:rPr>
              <w:t>陕西</w:t>
            </w:r>
          </w:p>
        </w:tc>
        <w:tc>
          <w:tcPr>
            <w:tcW w:w="1720"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168.58</w:t>
            </w:r>
          </w:p>
        </w:tc>
        <w:tc>
          <w:tcPr>
            <w:tcW w:w="1306"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10.6%</w:t>
            </w:r>
          </w:p>
        </w:tc>
        <w:tc>
          <w:tcPr>
            <w:tcW w:w="1134"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2.9</w:t>
            </w:r>
          </w:p>
        </w:tc>
        <w:tc>
          <w:tcPr>
            <w:tcW w:w="1701"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12.0%</w:t>
            </w:r>
          </w:p>
        </w:tc>
        <w:tc>
          <w:tcPr>
            <w:tcW w:w="1759"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bottom"/>
          </w:tcPr>
          <w:p>
            <w:pPr>
              <w:jc w:val="center"/>
              <w:rPr>
                <w:rFonts w:ascii="Arial" w:hAnsi="Arial" w:cs="Arial"/>
                <w:color w:val="000000"/>
                <w:szCs w:val="21"/>
              </w:rPr>
            </w:pPr>
            <w:r>
              <w:rPr>
                <w:rFonts w:ascii="Arial" w:hAnsi="Arial" w:cs="Arial"/>
                <w:color w:val="000000"/>
                <w:szCs w:val="21"/>
              </w:rPr>
              <w:t>浙江</w:t>
            </w:r>
          </w:p>
        </w:tc>
        <w:tc>
          <w:tcPr>
            <w:tcW w:w="1720"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259.56</w:t>
            </w:r>
            <w:r>
              <w:rPr>
                <w:rFonts w:hint="eastAsia" w:ascii="Times New Roman" w:hAnsi="Times New Roman"/>
                <w:color w:val="000000"/>
                <w:szCs w:val="21"/>
              </w:rPr>
              <w:t>*</w:t>
            </w:r>
          </w:p>
        </w:tc>
        <w:tc>
          <w:tcPr>
            <w:tcW w:w="1306"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5.3%</w:t>
            </w:r>
          </w:p>
        </w:tc>
        <w:tc>
          <w:tcPr>
            <w:tcW w:w="1134"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1.1</w:t>
            </w:r>
          </w:p>
        </w:tc>
        <w:tc>
          <w:tcPr>
            <w:tcW w:w="1701"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7.5%</w:t>
            </w:r>
          </w:p>
        </w:tc>
        <w:tc>
          <w:tcPr>
            <w:tcW w:w="1759"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bottom"/>
          </w:tcPr>
          <w:p>
            <w:pPr>
              <w:jc w:val="center"/>
              <w:rPr>
                <w:rFonts w:ascii="Arial" w:hAnsi="Arial" w:cs="Arial"/>
                <w:color w:val="000000"/>
                <w:szCs w:val="21"/>
              </w:rPr>
            </w:pPr>
            <w:r>
              <w:rPr>
                <w:rFonts w:ascii="Arial" w:hAnsi="Arial" w:cs="Arial"/>
                <w:color w:val="000000"/>
                <w:szCs w:val="21"/>
              </w:rPr>
              <w:t>湖北</w:t>
            </w:r>
          </w:p>
        </w:tc>
        <w:tc>
          <w:tcPr>
            <w:tcW w:w="1720"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155.76</w:t>
            </w:r>
          </w:p>
        </w:tc>
        <w:tc>
          <w:tcPr>
            <w:tcW w:w="1306"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7.5%</w:t>
            </w:r>
          </w:p>
        </w:tc>
        <w:tc>
          <w:tcPr>
            <w:tcW w:w="1134"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0.7</w:t>
            </w:r>
          </w:p>
        </w:tc>
        <w:tc>
          <w:tcPr>
            <w:tcW w:w="1701"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10.0%</w:t>
            </w:r>
          </w:p>
        </w:tc>
        <w:tc>
          <w:tcPr>
            <w:tcW w:w="1759"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bottom"/>
          </w:tcPr>
          <w:p>
            <w:pPr>
              <w:jc w:val="center"/>
              <w:rPr>
                <w:rFonts w:ascii="Arial" w:hAnsi="Arial" w:cs="Arial"/>
                <w:color w:val="000000"/>
                <w:szCs w:val="21"/>
              </w:rPr>
            </w:pPr>
            <w:r>
              <w:rPr>
                <w:rFonts w:ascii="Arial" w:hAnsi="Arial" w:cs="Arial"/>
                <w:color w:val="000000"/>
                <w:szCs w:val="21"/>
              </w:rPr>
              <w:t>湖南</w:t>
            </w:r>
          </w:p>
        </w:tc>
        <w:tc>
          <w:tcPr>
            <w:tcW w:w="1720"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177.86</w:t>
            </w:r>
          </w:p>
        </w:tc>
        <w:tc>
          <w:tcPr>
            <w:tcW w:w="1306"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10.2%</w:t>
            </w:r>
          </w:p>
        </w:tc>
        <w:tc>
          <w:tcPr>
            <w:tcW w:w="1134"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3.0</w:t>
            </w:r>
          </w:p>
        </w:tc>
        <w:tc>
          <w:tcPr>
            <w:tcW w:w="1701"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13.0%</w:t>
            </w:r>
          </w:p>
        </w:tc>
        <w:tc>
          <w:tcPr>
            <w:tcW w:w="1759"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bottom"/>
          </w:tcPr>
          <w:p>
            <w:pPr>
              <w:jc w:val="center"/>
              <w:rPr>
                <w:rFonts w:ascii="Arial" w:hAnsi="Arial" w:cs="Arial"/>
                <w:color w:val="000000"/>
                <w:szCs w:val="21"/>
              </w:rPr>
            </w:pPr>
            <w:r>
              <w:rPr>
                <w:rFonts w:ascii="Arial" w:hAnsi="Arial" w:cs="Arial"/>
                <w:color w:val="000000"/>
                <w:szCs w:val="21"/>
              </w:rPr>
              <w:t>北京</w:t>
            </w:r>
          </w:p>
        </w:tc>
        <w:tc>
          <w:tcPr>
            <w:tcW w:w="1720"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133.42</w:t>
            </w:r>
          </w:p>
        </w:tc>
        <w:tc>
          <w:tcPr>
            <w:tcW w:w="1306"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11.7%</w:t>
            </w:r>
          </w:p>
        </w:tc>
        <w:tc>
          <w:tcPr>
            <w:tcW w:w="1134"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1.3</w:t>
            </w:r>
          </w:p>
        </w:tc>
        <w:tc>
          <w:tcPr>
            <w:tcW w:w="1701"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15.0%</w:t>
            </w:r>
          </w:p>
        </w:tc>
        <w:tc>
          <w:tcPr>
            <w:tcW w:w="1759"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bottom"/>
          </w:tcPr>
          <w:p>
            <w:pPr>
              <w:jc w:val="center"/>
              <w:rPr>
                <w:rFonts w:ascii="Arial" w:hAnsi="Arial" w:cs="Arial"/>
                <w:color w:val="000000"/>
                <w:szCs w:val="21"/>
              </w:rPr>
            </w:pPr>
            <w:r>
              <w:rPr>
                <w:rFonts w:ascii="Arial" w:hAnsi="Arial" w:cs="Arial"/>
                <w:color w:val="000000"/>
                <w:szCs w:val="21"/>
              </w:rPr>
              <w:t>河北</w:t>
            </w:r>
          </w:p>
        </w:tc>
        <w:tc>
          <w:tcPr>
            <w:tcW w:w="1720"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415.31</w:t>
            </w:r>
          </w:p>
        </w:tc>
        <w:tc>
          <w:tcPr>
            <w:tcW w:w="1306"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11.3%</w:t>
            </w:r>
          </w:p>
        </w:tc>
        <w:tc>
          <w:tcPr>
            <w:tcW w:w="1134"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0.9</w:t>
            </w:r>
          </w:p>
        </w:tc>
        <w:tc>
          <w:tcPr>
            <w:tcW w:w="1701"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15.0%</w:t>
            </w:r>
          </w:p>
        </w:tc>
        <w:tc>
          <w:tcPr>
            <w:tcW w:w="1759"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bottom"/>
          </w:tcPr>
          <w:p>
            <w:pPr>
              <w:jc w:val="center"/>
              <w:rPr>
                <w:rFonts w:ascii="Arial" w:hAnsi="Arial" w:cs="Arial"/>
                <w:color w:val="000000"/>
                <w:szCs w:val="21"/>
              </w:rPr>
            </w:pPr>
            <w:r>
              <w:rPr>
                <w:rFonts w:ascii="Arial" w:hAnsi="Arial" w:cs="Arial"/>
                <w:color w:val="000000"/>
                <w:szCs w:val="21"/>
              </w:rPr>
              <w:t>天津</w:t>
            </w:r>
          </w:p>
        </w:tc>
        <w:tc>
          <w:tcPr>
            <w:tcW w:w="1720"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94.47</w:t>
            </w:r>
          </w:p>
        </w:tc>
        <w:tc>
          <w:tcPr>
            <w:tcW w:w="1306"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11.0%</w:t>
            </w:r>
          </w:p>
        </w:tc>
        <w:tc>
          <w:tcPr>
            <w:tcW w:w="1134"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0.6</w:t>
            </w:r>
          </w:p>
        </w:tc>
        <w:tc>
          <w:tcPr>
            <w:tcW w:w="1701"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15.0%</w:t>
            </w:r>
          </w:p>
        </w:tc>
        <w:tc>
          <w:tcPr>
            <w:tcW w:w="1759"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bottom"/>
          </w:tcPr>
          <w:p>
            <w:pPr>
              <w:jc w:val="center"/>
              <w:rPr>
                <w:rFonts w:ascii="Arial" w:hAnsi="Arial" w:cs="Arial"/>
                <w:color w:val="000000"/>
                <w:szCs w:val="21"/>
              </w:rPr>
            </w:pPr>
            <w:r>
              <w:rPr>
                <w:rFonts w:ascii="Arial" w:hAnsi="Arial" w:cs="Arial"/>
                <w:color w:val="000000"/>
                <w:szCs w:val="21"/>
              </w:rPr>
              <w:t>黑龙江</w:t>
            </w:r>
          </w:p>
        </w:tc>
        <w:tc>
          <w:tcPr>
            <w:tcW w:w="1720"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157.51</w:t>
            </w:r>
          </w:p>
        </w:tc>
        <w:tc>
          <w:tcPr>
            <w:tcW w:w="1306"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16.2%</w:t>
            </w:r>
          </w:p>
        </w:tc>
        <w:tc>
          <w:tcPr>
            <w:tcW w:w="1134"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0.4</w:t>
            </w:r>
          </w:p>
        </w:tc>
        <w:tc>
          <w:tcPr>
            <w:tcW w:w="1701"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20.5%</w:t>
            </w:r>
          </w:p>
        </w:tc>
        <w:tc>
          <w:tcPr>
            <w:tcW w:w="1759"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bottom"/>
          </w:tcPr>
          <w:p>
            <w:pPr>
              <w:jc w:val="center"/>
              <w:rPr>
                <w:rFonts w:ascii="Arial" w:hAnsi="Arial" w:cs="Arial"/>
                <w:color w:val="000000"/>
                <w:szCs w:val="21"/>
              </w:rPr>
            </w:pPr>
            <w:r>
              <w:rPr>
                <w:rFonts w:ascii="Arial" w:hAnsi="Arial" w:cs="Arial"/>
                <w:color w:val="000000"/>
                <w:szCs w:val="21"/>
              </w:rPr>
              <w:t>甘肃</w:t>
            </w:r>
          </w:p>
        </w:tc>
        <w:tc>
          <w:tcPr>
            <w:tcW w:w="1720"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173.28</w:t>
            </w:r>
          </w:p>
        </w:tc>
        <w:tc>
          <w:tcPr>
            <w:tcW w:w="1306"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13.4%</w:t>
            </w:r>
          </w:p>
        </w:tc>
        <w:tc>
          <w:tcPr>
            <w:tcW w:w="1134"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-0.4</w:t>
            </w:r>
          </w:p>
        </w:tc>
        <w:tc>
          <w:tcPr>
            <w:tcW w:w="1701"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19.0%</w:t>
            </w:r>
          </w:p>
        </w:tc>
        <w:tc>
          <w:tcPr>
            <w:tcW w:w="1759"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bottom"/>
          </w:tcPr>
          <w:p>
            <w:pPr>
              <w:jc w:val="center"/>
              <w:rPr>
                <w:rFonts w:ascii="Arial" w:hAnsi="Arial" w:cs="Arial"/>
                <w:color w:val="000000"/>
                <w:szCs w:val="21"/>
              </w:rPr>
            </w:pPr>
            <w:r>
              <w:rPr>
                <w:rFonts w:ascii="Arial" w:hAnsi="Arial" w:cs="Arial"/>
                <w:color w:val="000000"/>
                <w:szCs w:val="21"/>
              </w:rPr>
              <w:t>青海</w:t>
            </w:r>
          </w:p>
        </w:tc>
        <w:tc>
          <w:tcPr>
            <w:tcW w:w="1720"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136.53</w:t>
            </w:r>
          </w:p>
        </w:tc>
        <w:tc>
          <w:tcPr>
            <w:tcW w:w="1306"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18.5%</w:t>
            </w:r>
          </w:p>
        </w:tc>
        <w:tc>
          <w:tcPr>
            <w:tcW w:w="1134"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0.0</w:t>
            </w:r>
          </w:p>
        </w:tc>
        <w:tc>
          <w:tcPr>
            <w:tcW w:w="1701"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25.0%</w:t>
            </w:r>
          </w:p>
        </w:tc>
        <w:tc>
          <w:tcPr>
            <w:tcW w:w="1759"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ascii="Times New Roman" w:hAnsi="Times New Roman"/>
                <w:color w:val="000000"/>
                <w:szCs w:val="21"/>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西藏</w:t>
            </w:r>
          </w:p>
        </w:tc>
        <w:tc>
          <w:tcPr>
            <w:tcW w:w="1720" w:type="dxa"/>
            <w:tcBorders>
              <w:top w:val="nil"/>
              <w:left w:val="nil"/>
              <w:bottom w:val="single" w:color="auto" w:sz="4" w:space="0"/>
              <w:right w:val="single" w:color="auto" w:sz="4" w:space="0"/>
            </w:tcBorders>
            <w:vAlign w:val="top"/>
          </w:tcPr>
          <w:p>
            <w:pPr>
              <w:widowControl/>
              <w:jc w:val="center"/>
              <w:rPr>
                <w:rFonts w:ascii="Times New Roman" w:hAnsi="Times New Roman"/>
                <w:color w:val="000000"/>
                <w:kern w:val="0"/>
                <w:szCs w:val="21"/>
              </w:rPr>
            </w:pPr>
            <w:r>
              <w:rPr>
                <w:rFonts w:ascii="Times New Roman" w:hAnsi="Times New Roman"/>
                <w:color w:val="000000"/>
                <w:kern w:val="0"/>
                <w:szCs w:val="21"/>
              </w:rPr>
              <w:t>16.97</w:t>
            </w:r>
          </w:p>
        </w:tc>
        <w:tc>
          <w:tcPr>
            <w:tcW w:w="1306"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16.9%</w:t>
            </w: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2.9</w:t>
            </w:r>
          </w:p>
        </w:tc>
        <w:tc>
          <w:tcPr>
            <w:tcW w:w="1701"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hint="eastAsia" w:ascii="Times New Roman" w:hAnsi="Times New Roman"/>
                <w:szCs w:val="21"/>
              </w:rPr>
              <w:t>不考核</w:t>
            </w:r>
          </w:p>
        </w:tc>
        <w:tc>
          <w:tcPr>
            <w:tcW w:w="1759"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b/>
                <w:bCs/>
                <w:color w:val="000000"/>
                <w:kern w:val="0"/>
                <w:szCs w:val="21"/>
              </w:rPr>
            </w:pPr>
            <w:r>
              <w:rPr>
                <w:rFonts w:ascii="Times New Roman" w:hAnsi="宋体"/>
                <w:b/>
                <w:bCs/>
                <w:color w:val="000000"/>
                <w:kern w:val="0"/>
                <w:szCs w:val="21"/>
              </w:rPr>
              <w:t>全国</w:t>
            </w:r>
          </w:p>
        </w:tc>
        <w:tc>
          <w:tcPr>
            <w:tcW w:w="1720" w:type="dxa"/>
            <w:tcBorders>
              <w:top w:val="nil"/>
              <w:left w:val="nil"/>
              <w:bottom w:val="single" w:color="auto" w:sz="4" w:space="0"/>
              <w:right w:val="single" w:color="auto" w:sz="4" w:space="0"/>
            </w:tcBorders>
            <w:vAlign w:val="center"/>
          </w:tcPr>
          <w:p>
            <w:pPr>
              <w:widowControl/>
              <w:jc w:val="center"/>
              <w:rPr>
                <w:rFonts w:ascii="Times New Roman" w:hAnsi="Times New Roman"/>
                <w:b/>
                <w:bCs/>
                <w:color w:val="000000"/>
                <w:kern w:val="0"/>
                <w:szCs w:val="21"/>
              </w:rPr>
            </w:pPr>
            <w:r>
              <w:rPr>
                <w:rFonts w:ascii="Times New Roman" w:hAnsi="Times New Roman"/>
                <w:b/>
                <w:bCs/>
                <w:color w:val="000000"/>
                <w:kern w:val="0"/>
                <w:szCs w:val="21"/>
              </w:rPr>
              <w:t>63</w:t>
            </w:r>
            <w:r>
              <w:rPr>
                <w:rFonts w:hint="eastAsia" w:ascii="Times New Roman" w:hAnsi="Times New Roman"/>
                <w:b/>
                <w:bCs/>
                <w:color w:val="000000"/>
                <w:kern w:val="0"/>
                <w:szCs w:val="21"/>
              </w:rPr>
              <w:t>1</w:t>
            </w:r>
            <w:r>
              <w:rPr>
                <w:rFonts w:ascii="Times New Roman" w:hAnsi="Times New Roman"/>
                <w:b/>
                <w:bCs/>
                <w:color w:val="000000"/>
                <w:kern w:val="0"/>
                <w:szCs w:val="21"/>
              </w:rPr>
              <w:t>4.20</w:t>
            </w:r>
          </w:p>
        </w:tc>
        <w:tc>
          <w:tcPr>
            <w:tcW w:w="1306" w:type="dxa"/>
            <w:tcBorders>
              <w:top w:val="nil"/>
              <w:left w:val="nil"/>
              <w:bottom w:val="single" w:color="auto" w:sz="4" w:space="0"/>
              <w:right w:val="single" w:color="auto" w:sz="4" w:space="0"/>
            </w:tcBorders>
            <w:vAlign w:val="center"/>
          </w:tcPr>
          <w:p>
            <w:pPr>
              <w:widowControl/>
              <w:jc w:val="center"/>
              <w:rPr>
                <w:rFonts w:ascii="Times New Roman" w:hAnsi="Times New Roman"/>
                <w:b/>
                <w:bCs/>
                <w:color w:val="000000"/>
                <w:kern w:val="0"/>
                <w:szCs w:val="21"/>
              </w:rPr>
            </w:pPr>
            <w:r>
              <w:rPr>
                <w:rFonts w:ascii="Times New Roman" w:hAnsi="Times New Roman"/>
                <w:b/>
                <w:bCs/>
                <w:color w:val="000000"/>
                <w:kern w:val="0"/>
                <w:szCs w:val="21"/>
              </w:rPr>
              <w:t>9.2%</w:t>
            </w: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b/>
                <w:bCs/>
                <w:color w:val="000000"/>
                <w:kern w:val="0"/>
                <w:szCs w:val="21"/>
              </w:rPr>
            </w:pPr>
            <w:r>
              <w:rPr>
                <w:rFonts w:ascii="Times New Roman" w:hAnsi="Times New Roman"/>
                <w:b/>
                <w:bCs/>
                <w:color w:val="000000"/>
                <w:kern w:val="0"/>
                <w:szCs w:val="21"/>
              </w:rPr>
              <w:t>1.2</w:t>
            </w:r>
          </w:p>
        </w:tc>
        <w:tc>
          <w:tcPr>
            <w:tcW w:w="1701" w:type="dxa"/>
            <w:tcBorders>
              <w:top w:val="nil"/>
              <w:left w:val="nil"/>
              <w:bottom w:val="single" w:color="auto" w:sz="4" w:space="0"/>
              <w:right w:val="single" w:color="auto" w:sz="4" w:space="0"/>
            </w:tcBorders>
            <w:vAlign w:val="center"/>
          </w:tcPr>
          <w:p>
            <w:pPr>
              <w:widowControl/>
              <w:jc w:val="center"/>
              <w:rPr>
                <w:rFonts w:ascii="Times New Roman" w:hAnsi="Times New Roman"/>
                <w:b/>
                <w:bCs/>
                <w:color w:val="000000"/>
                <w:kern w:val="0"/>
                <w:szCs w:val="21"/>
              </w:rPr>
            </w:pPr>
          </w:p>
        </w:tc>
        <w:tc>
          <w:tcPr>
            <w:tcW w:w="1759" w:type="dxa"/>
            <w:tcBorders>
              <w:top w:val="nil"/>
              <w:left w:val="nil"/>
              <w:bottom w:val="single" w:color="auto" w:sz="4" w:space="0"/>
              <w:right w:val="single" w:color="auto" w:sz="4" w:space="0"/>
            </w:tcBorders>
            <w:vAlign w:val="center"/>
          </w:tcPr>
          <w:p>
            <w:pPr>
              <w:widowControl/>
              <w:jc w:val="center"/>
              <w:rPr>
                <w:rFonts w:ascii="Times New Roman" w:hAnsi="Times New Roman"/>
                <w:b/>
                <w:bCs/>
                <w:color w:val="000000"/>
                <w:kern w:val="0"/>
                <w:szCs w:val="21"/>
              </w:rPr>
            </w:pPr>
          </w:p>
        </w:tc>
      </w:tr>
    </w:tbl>
    <w:p>
      <w:pPr>
        <w:rPr>
          <w:rFonts w:ascii="Times New Roman" w:hAnsi="Times New Roman"/>
          <w:szCs w:val="21"/>
        </w:rPr>
      </w:pPr>
      <w:r>
        <w:rPr>
          <w:rFonts w:hint="eastAsia" w:ascii="Times New Roman" w:hAnsi="Times New Roman"/>
          <w:szCs w:val="21"/>
        </w:rPr>
        <w:t>*</w:t>
      </w:r>
      <w:r>
        <w:rPr>
          <w:rFonts w:ascii="Times New Roman" w:hAnsi="Times New Roman"/>
          <w:szCs w:val="21"/>
        </w:rPr>
        <w:t>浙江省购买可再生能源绿色电力证书</w:t>
      </w:r>
      <w:r>
        <w:rPr>
          <w:rFonts w:hint="eastAsia" w:ascii="Times New Roman" w:hAnsi="Times New Roman"/>
          <w:szCs w:val="21"/>
        </w:rPr>
        <w:t>折算可再生能源电力消纳量</w:t>
      </w:r>
      <w:r>
        <w:rPr>
          <w:rFonts w:ascii="Times New Roman" w:hAnsi="Times New Roman"/>
          <w:szCs w:val="21"/>
        </w:rPr>
        <w:t>20亿千瓦时</w:t>
      </w:r>
      <w:r>
        <w:rPr>
          <w:rFonts w:hint="eastAsia" w:ascii="Times New Roman" w:hAnsi="Times New Roman"/>
          <w:szCs w:val="21"/>
        </w:rPr>
        <w:t>。</w:t>
      </w:r>
    </w:p>
    <w:p>
      <w:pPr>
        <w:pStyle w:val="2"/>
        <w:ind w:firstLine="600"/>
      </w:pPr>
      <w:r>
        <w:t>四、风电、光伏发电保障性收购落实情况</w:t>
      </w:r>
    </w:p>
    <w:p>
      <w:pPr>
        <w:spacing w:line="600"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2016年，国家发展改革委、国家能源局依照《可再生能源法》要求，核定了重点地区风电和光伏发电最低保障收购年利用小时数，提出全额保障性收购相关要求。</w:t>
      </w:r>
    </w:p>
    <w:p>
      <w:pPr>
        <w:spacing w:line="600"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2018年，</w:t>
      </w:r>
      <w:r>
        <w:rPr>
          <w:rFonts w:hint="eastAsia" w:ascii="Times New Roman" w:hAnsi="Times New Roman" w:eastAsia="方正仿宋_GBK"/>
          <w:sz w:val="30"/>
          <w:szCs w:val="30"/>
        </w:rPr>
        <w:t>在</w:t>
      </w:r>
      <w:r>
        <w:rPr>
          <w:rFonts w:ascii="Times New Roman" w:hAnsi="Times New Roman" w:eastAsia="方正仿宋_GBK"/>
          <w:sz w:val="30"/>
          <w:szCs w:val="30"/>
        </w:rPr>
        <w:t>规定风电最低保障收购年利用小时数的地区中，甘肃省未达国家最低保障收购年利用小时数要求，其II、III类</w:t>
      </w:r>
      <w:r>
        <w:rPr>
          <w:rFonts w:hint="eastAsia" w:ascii="Times New Roman" w:hAnsi="Times New Roman" w:eastAsia="方正仿宋_GBK"/>
          <w:sz w:val="30"/>
          <w:szCs w:val="30"/>
        </w:rPr>
        <w:t>资源区实际利用小时数比最低保障收购年利用小时数分别低8小时和77小时。</w:t>
      </w:r>
    </w:p>
    <w:p>
      <w:pPr>
        <w:spacing w:line="600"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2018年，</w:t>
      </w:r>
      <w:r>
        <w:rPr>
          <w:rFonts w:hint="eastAsia" w:ascii="Times New Roman" w:hAnsi="Times New Roman" w:eastAsia="方正仿宋_GBK"/>
          <w:sz w:val="30"/>
          <w:szCs w:val="30"/>
        </w:rPr>
        <w:t>在</w:t>
      </w:r>
      <w:r>
        <w:rPr>
          <w:rFonts w:ascii="Times New Roman" w:hAnsi="Times New Roman" w:eastAsia="方正仿宋_GBK"/>
          <w:sz w:val="30"/>
          <w:szCs w:val="30"/>
        </w:rPr>
        <w:t>规定光伏发电最低保障收购年利用小时数的地区中，</w:t>
      </w:r>
      <w:r>
        <w:rPr>
          <w:rFonts w:hint="eastAsia" w:ascii="Times New Roman" w:hAnsi="Times New Roman" w:eastAsia="方正仿宋_GBK"/>
          <w:sz w:val="30"/>
          <w:szCs w:val="30"/>
        </w:rPr>
        <w:t>有</w:t>
      </w:r>
      <w:r>
        <w:rPr>
          <w:rFonts w:ascii="Times New Roman" w:hAnsi="Times New Roman" w:eastAsia="方正仿宋_GBK"/>
          <w:sz w:val="30"/>
          <w:szCs w:val="30"/>
        </w:rPr>
        <w:t>四个省（区</w:t>
      </w:r>
      <w:r>
        <w:rPr>
          <w:rFonts w:hint="eastAsia" w:ascii="Times New Roman" w:hAnsi="Times New Roman" w:eastAsia="方正仿宋_GBK"/>
          <w:sz w:val="30"/>
          <w:szCs w:val="30"/>
        </w:rPr>
        <w:t>、市</w:t>
      </w:r>
      <w:r>
        <w:rPr>
          <w:rFonts w:ascii="Times New Roman" w:hAnsi="Times New Roman" w:eastAsia="方正仿宋_GBK"/>
          <w:sz w:val="30"/>
          <w:szCs w:val="30"/>
        </w:rPr>
        <w:t>）达到光伏发电最低保障收购年利用小时数要求</w:t>
      </w:r>
      <w:r>
        <w:rPr>
          <w:rFonts w:hint="eastAsia" w:ascii="Times New Roman" w:hAnsi="Times New Roman" w:eastAsia="方正仿宋_GBK"/>
          <w:sz w:val="30"/>
          <w:szCs w:val="30"/>
        </w:rPr>
        <w:t>，分别是</w:t>
      </w:r>
      <w:r>
        <w:rPr>
          <w:rFonts w:ascii="Times New Roman" w:hAnsi="Times New Roman" w:eastAsia="方正仿宋_GBK"/>
          <w:sz w:val="30"/>
          <w:szCs w:val="30"/>
        </w:rPr>
        <w:t>内蒙古、青海、陕西</w:t>
      </w:r>
      <w:r>
        <w:rPr>
          <w:rFonts w:hint="eastAsia" w:ascii="Times New Roman" w:hAnsi="Times New Roman" w:eastAsia="方正仿宋_GBK"/>
          <w:sz w:val="30"/>
          <w:szCs w:val="30"/>
        </w:rPr>
        <w:t>和</w:t>
      </w:r>
      <w:r>
        <w:rPr>
          <w:rFonts w:ascii="Times New Roman" w:hAnsi="Times New Roman" w:eastAsia="方正仿宋_GBK"/>
          <w:sz w:val="30"/>
          <w:szCs w:val="30"/>
        </w:rPr>
        <w:t>黑龙江</w:t>
      </w:r>
      <w:r>
        <w:rPr>
          <w:rFonts w:hint="eastAsia" w:ascii="Times New Roman" w:hAnsi="Times New Roman" w:eastAsia="方正仿宋_GBK"/>
          <w:sz w:val="30"/>
          <w:szCs w:val="30"/>
        </w:rPr>
        <w:t>；有</w:t>
      </w:r>
      <w:r>
        <w:rPr>
          <w:rFonts w:ascii="Times New Roman" w:hAnsi="Times New Roman" w:eastAsia="方正仿宋_GBK"/>
          <w:sz w:val="30"/>
          <w:szCs w:val="30"/>
        </w:rPr>
        <w:t>七个省（区</w:t>
      </w:r>
      <w:r>
        <w:rPr>
          <w:rFonts w:hint="eastAsia" w:ascii="Times New Roman" w:hAnsi="Times New Roman" w:eastAsia="方正仿宋_GBK"/>
          <w:sz w:val="30"/>
          <w:szCs w:val="30"/>
        </w:rPr>
        <w:t>、市</w:t>
      </w:r>
      <w:r>
        <w:rPr>
          <w:rFonts w:ascii="Times New Roman" w:hAnsi="Times New Roman" w:eastAsia="方正仿宋_GBK"/>
          <w:sz w:val="30"/>
          <w:szCs w:val="30"/>
        </w:rPr>
        <w:t>）未达到要求，</w:t>
      </w:r>
      <w:r>
        <w:rPr>
          <w:rFonts w:hint="eastAsia" w:ascii="Times New Roman" w:hAnsi="Times New Roman" w:eastAsia="方正仿宋_GBK"/>
          <w:sz w:val="30"/>
          <w:szCs w:val="30"/>
        </w:rPr>
        <w:t>分别是甘肃、新疆、宁夏、辽宁、山西、河北和吉林，</w:t>
      </w:r>
      <w:r>
        <w:rPr>
          <w:rFonts w:ascii="Times New Roman" w:hAnsi="Times New Roman" w:eastAsia="方正仿宋_GBK"/>
          <w:sz w:val="30"/>
          <w:szCs w:val="30"/>
        </w:rPr>
        <w:t>其中，甘肃I类和II类地区实际利用小时数比最低保障收购年利用小时数分别低172小时和200小时，新疆I类和II类地区分别低147小时和133小时，宁夏I类地区低124小时，辽宁II类地区低93小时，山西II类地区低45小时，河北II类地区低28小时，吉林II类地区低17小时。</w:t>
      </w:r>
    </w:p>
    <w:p>
      <w:pPr>
        <w:spacing w:line="600" w:lineRule="exact"/>
        <w:ind w:firstLine="600" w:firstLineChars="200"/>
        <w:rPr>
          <w:rFonts w:ascii="Times New Roman" w:hAnsi="Times New Roman" w:eastAsia="方正仿宋_GBK"/>
          <w:sz w:val="30"/>
          <w:szCs w:val="30"/>
        </w:rPr>
        <w:sectPr>
          <w:footerReference r:id="rId4" w:type="default"/>
          <w:footerReference r:id="rId5" w:type="even"/>
          <w:pgSz w:w="11906" w:h="16838"/>
          <w:pgMar w:top="1985" w:right="1616" w:bottom="1814" w:left="1616" w:header="851" w:footer="1417" w:gutter="0"/>
          <w:pgNumType w:start="1"/>
          <w:cols w:space="425" w:num="1"/>
          <w:docGrid w:type="lines" w:linePitch="312" w:charSpace="0"/>
        </w:sectPr>
      </w:pPr>
    </w:p>
    <w:p>
      <w:pPr>
        <w:pStyle w:val="16"/>
        <w:rPr>
          <w:rFonts w:eastAsia="黑体"/>
        </w:rPr>
      </w:pPr>
      <w:r>
        <w:rPr>
          <w:rFonts w:hAnsi="黑体" w:eastAsia="黑体"/>
        </w:rPr>
        <w:t>表</w:t>
      </w:r>
      <w:r>
        <w:rPr>
          <w:rFonts w:eastAsia="黑体"/>
        </w:rPr>
        <w:t>3  2018</w:t>
      </w:r>
      <w:r>
        <w:rPr>
          <w:rFonts w:hAnsi="黑体" w:eastAsia="黑体"/>
        </w:rPr>
        <w:t>年风电重点地区最低保障收购年利用小时数落实情况</w:t>
      </w:r>
    </w:p>
    <w:p>
      <w:pPr>
        <w:ind w:firstLine="600" w:firstLineChars="200"/>
        <w:rPr>
          <w:rFonts w:ascii="Times New Roman" w:hAnsi="Times New Roman" w:eastAsia="仿宋_GB2312"/>
          <w:sz w:val="30"/>
          <w:szCs w:val="30"/>
        </w:rPr>
      </w:pPr>
    </w:p>
    <w:tbl>
      <w:tblPr>
        <w:tblW w:w="133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129"/>
        <w:gridCol w:w="1129"/>
        <w:gridCol w:w="6309"/>
        <w:gridCol w:w="1433"/>
        <w:gridCol w:w="1831"/>
        <w:gridCol w:w="15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21" w:hRule="atLeast"/>
        </w:trPr>
        <w:tc>
          <w:tcPr>
            <w:tcW w:w="11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kern w:val="0"/>
                <w:sz w:val="22"/>
                <w:szCs w:val="21"/>
              </w:rPr>
            </w:pPr>
            <w:r>
              <w:rPr>
                <w:rFonts w:ascii="宋体" w:hAnsi="宋体"/>
                <w:b/>
                <w:bCs/>
                <w:kern w:val="0"/>
                <w:sz w:val="22"/>
                <w:szCs w:val="21"/>
              </w:rPr>
              <w:t>省（区）</w:t>
            </w:r>
          </w:p>
        </w:tc>
        <w:tc>
          <w:tcPr>
            <w:tcW w:w="1129"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2"/>
                <w:szCs w:val="21"/>
              </w:rPr>
            </w:pPr>
            <w:r>
              <w:rPr>
                <w:rFonts w:ascii="宋体" w:hAnsi="宋体"/>
                <w:b/>
                <w:bCs/>
                <w:kern w:val="0"/>
                <w:sz w:val="22"/>
                <w:szCs w:val="21"/>
              </w:rPr>
              <w:t>资源区</w:t>
            </w:r>
          </w:p>
        </w:tc>
        <w:tc>
          <w:tcPr>
            <w:tcW w:w="6309"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2"/>
                <w:szCs w:val="21"/>
              </w:rPr>
            </w:pPr>
            <w:r>
              <w:rPr>
                <w:rFonts w:ascii="宋体" w:hAnsi="宋体"/>
                <w:b/>
                <w:bCs/>
                <w:kern w:val="0"/>
                <w:sz w:val="22"/>
                <w:szCs w:val="21"/>
              </w:rPr>
              <w:t>地区</w:t>
            </w:r>
          </w:p>
        </w:tc>
        <w:tc>
          <w:tcPr>
            <w:tcW w:w="1433"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2"/>
                <w:szCs w:val="21"/>
              </w:rPr>
            </w:pPr>
            <w:r>
              <w:rPr>
                <w:rFonts w:ascii="宋体" w:hAnsi="宋体"/>
                <w:b/>
                <w:bCs/>
                <w:kern w:val="0"/>
                <w:sz w:val="22"/>
                <w:szCs w:val="21"/>
              </w:rPr>
              <w:t>保障性收购利用小时数</w:t>
            </w:r>
          </w:p>
        </w:tc>
        <w:tc>
          <w:tcPr>
            <w:tcW w:w="1831"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2"/>
                <w:szCs w:val="21"/>
              </w:rPr>
            </w:pPr>
            <w:r>
              <w:rPr>
                <w:rFonts w:ascii="宋体" w:hAnsi="宋体"/>
                <w:b/>
                <w:bCs/>
                <w:kern w:val="0"/>
                <w:sz w:val="22"/>
                <w:szCs w:val="21"/>
              </w:rPr>
              <w:t>2018年实际利用小时数</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2"/>
                <w:szCs w:val="21"/>
              </w:rPr>
            </w:pPr>
            <w:r>
              <w:rPr>
                <w:rFonts w:ascii="宋体" w:hAnsi="宋体"/>
                <w:b/>
                <w:bCs/>
                <w:kern w:val="0"/>
                <w:sz w:val="22"/>
                <w:szCs w:val="21"/>
              </w:rPr>
              <w:t>2018年偏差小时数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8" w:hRule="atLeast"/>
        </w:trPr>
        <w:tc>
          <w:tcPr>
            <w:tcW w:w="1129"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宋体"/>
                <w:color w:val="000000"/>
                <w:kern w:val="0"/>
                <w:szCs w:val="21"/>
              </w:rPr>
              <w:t>内蒙古</w:t>
            </w:r>
          </w:p>
        </w:tc>
        <w:tc>
          <w:tcPr>
            <w:tcW w:w="1129"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w:t>
            </w:r>
            <w:r>
              <w:rPr>
                <w:rFonts w:ascii="Times New Roman" w:hAnsi="宋体"/>
                <w:color w:val="000000"/>
                <w:kern w:val="0"/>
                <w:szCs w:val="21"/>
              </w:rPr>
              <w:t>类</w:t>
            </w:r>
          </w:p>
        </w:tc>
        <w:tc>
          <w:tcPr>
            <w:tcW w:w="6309"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Cs w:val="21"/>
              </w:rPr>
            </w:pPr>
            <w:r>
              <w:rPr>
                <w:rFonts w:ascii="Times New Roman" w:hAnsi="宋体"/>
                <w:color w:val="000000"/>
                <w:kern w:val="0"/>
                <w:szCs w:val="21"/>
              </w:rPr>
              <w:t>除赤峰市、通辽市、兴安盟、呼伦贝尔市以外其他地区</w:t>
            </w:r>
          </w:p>
        </w:tc>
        <w:tc>
          <w:tcPr>
            <w:tcW w:w="1433"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2000</w:t>
            </w:r>
          </w:p>
        </w:tc>
        <w:tc>
          <w:tcPr>
            <w:tcW w:w="1831"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2254</w:t>
            </w:r>
          </w:p>
        </w:tc>
        <w:tc>
          <w:tcPr>
            <w:tcW w:w="1559"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62" w:hRule="atLeast"/>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1129"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w:t>
            </w:r>
            <w:r>
              <w:rPr>
                <w:rFonts w:ascii="Times New Roman" w:hAnsi="宋体"/>
                <w:color w:val="000000"/>
                <w:kern w:val="0"/>
                <w:szCs w:val="21"/>
              </w:rPr>
              <w:t>类</w:t>
            </w:r>
          </w:p>
        </w:tc>
        <w:tc>
          <w:tcPr>
            <w:tcW w:w="6309"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Cs w:val="21"/>
              </w:rPr>
            </w:pPr>
            <w:r>
              <w:rPr>
                <w:rFonts w:ascii="Times New Roman" w:hAnsi="宋体"/>
                <w:color w:val="000000"/>
                <w:kern w:val="0"/>
                <w:szCs w:val="21"/>
              </w:rPr>
              <w:t>赤峰市、通辽市、兴安盟、呼伦贝尔市</w:t>
            </w:r>
          </w:p>
        </w:tc>
        <w:tc>
          <w:tcPr>
            <w:tcW w:w="1433"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1900</w:t>
            </w:r>
          </w:p>
        </w:tc>
        <w:tc>
          <w:tcPr>
            <w:tcW w:w="1831"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2250</w:t>
            </w:r>
          </w:p>
        </w:tc>
        <w:tc>
          <w:tcPr>
            <w:tcW w:w="1559"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62" w:hRule="atLeast"/>
        </w:trPr>
        <w:tc>
          <w:tcPr>
            <w:tcW w:w="1129"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宋体"/>
                <w:color w:val="000000"/>
                <w:kern w:val="0"/>
                <w:szCs w:val="21"/>
              </w:rPr>
              <w:t>新疆</w:t>
            </w:r>
          </w:p>
        </w:tc>
        <w:tc>
          <w:tcPr>
            <w:tcW w:w="1129"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w:t>
            </w:r>
            <w:r>
              <w:rPr>
                <w:rFonts w:ascii="Times New Roman" w:hAnsi="宋体"/>
                <w:color w:val="000000"/>
                <w:kern w:val="0"/>
                <w:szCs w:val="21"/>
              </w:rPr>
              <w:t>类</w:t>
            </w:r>
          </w:p>
        </w:tc>
        <w:tc>
          <w:tcPr>
            <w:tcW w:w="6309"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Cs w:val="21"/>
              </w:rPr>
            </w:pPr>
            <w:r>
              <w:rPr>
                <w:rFonts w:ascii="Times New Roman" w:hAnsi="宋体"/>
                <w:color w:val="000000"/>
                <w:kern w:val="0"/>
                <w:szCs w:val="21"/>
              </w:rPr>
              <w:t>乌鲁木齐市、伊犁哈萨克族自治州、克拉玛依市、石河子市</w:t>
            </w:r>
          </w:p>
        </w:tc>
        <w:tc>
          <w:tcPr>
            <w:tcW w:w="1433"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1900</w:t>
            </w:r>
          </w:p>
        </w:tc>
        <w:tc>
          <w:tcPr>
            <w:tcW w:w="1831"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2357</w:t>
            </w:r>
          </w:p>
        </w:tc>
        <w:tc>
          <w:tcPr>
            <w:tcW w:w="1559"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62" w:hRule="atLeast"/>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1129"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III</w:t>
            </w:r>
            <w:r>
              <w:rPr>
                <w:rFonts w:ascii="Times New Roman" w:hAnsi="宋体"/>
                <w:color w:val="000000"/>
                <w:kern w:val="0"/>
                <w:szCs w:val="21"/>
              </w:rPr>
              <w:t>类</w:t>
            </w:r>
          </w:p>
        </w:tc>
        <w:tc>
          <w:tcPr>
            <w:tcW w:w="6309"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Cs w:val="21"/>
              </w:rPr>
            </w:pPr>
            <w:r>
              <w:rPr>
                <w:rFonts w:ascii="Times New Roman" w:hAnsi="宋体"/>
                <w:color w:val="000000"/>
                <w:kern w:val="0"/>
                <w:szCs w:val="21"/>
              </w:rPr>
              <w:t>除乌鲁木齐市、伊犁哈萨克族自治州、克拉玛依市、石河子市以外其他地区</w:t>
            </w:r>
          </w:p>
        </w:tc>
        <w:tc>
          <w:tcPr>
            <w:tcW w:w="1433"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1800</w:t>
            </w:r>
          </w:p>
        </w:tc>
        <w:tc>
          <w:tcPr>
            <w:tcW w:w="1831"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1897</w:t>
            </w:r>
          </w:p>
        </w:tc>
        <w:tc>
          <w:tcPr>
            <w:tcW w:w="1559"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62" w:hRule="atLeast"/>
        </w:trPr>
        <w:tc>
          <w:tcPr>
            <w:tcW w:w="1129"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宋体"/>
                <w:color w:val="000000"/>
                <w:kern w:val="0"/>
                <w:szCs w:val="21"/>
              </w:rPr>
              <w:t>甘肃</w:t>
            </w:r>
          </w:p>
        </w:tc>
        <w:tc>
          <w:tcPr>
            <w:tcW w:w="1129"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w:t>
            </w:r>
            <w:r>
              <w:rPr>
                <w:rFonts w:ascii="Times New Roman" w:hAnsi="宋体"/>
                <w:color w:val="000000"/>
                <w:kern w:val="0"/>
                <w:szCs w:val="21"/>
              </w:rPr>
              <w:t>类</w:t>
            </w:r>
          </w:p>
        </w:tc>
        <w:tc>
          <w:tcPr>
            <w:tcW w:w="6309"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Cs w:val="21"/>
              </w:rPr>
            </w:pPr>
            <w:r>
              <w:rPr>
                <w:rFonts w:ascii="Times New Roman" w:hAnsi="宋体"/>
                <w:color w:val="000000"/>
                <w:kern w:val="0"/>
                <w:szCs w:val="21"/>
              </w:rPr>
              <w:t>嘉峪关市、酒泉市</w:t>
            </w:r>
          </w:p>
        </w:tc>
        <w:tc>
          <w:tcPr>
            <w:tcW w:w="1433"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1800</w:t>
            </w:r>
          </w:p>
        </w:tc>
        <w:tc>
          <w:tcPr>
            <w:tcW w:w="1831"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1792</w:t>
            </w:r>
          </w:p>
        </w:tc>
        <w:tc>
          <w:tcPr>
            <w:tcW w:w="1559"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62" w:hRule="atLeast"/>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1129"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III</w:t>
            </w:r>
            <w:r>
              <w:rPr>
                <w:rFonts w:ascii="Times New Roman" w:hAnsi="宋体"/>
                <w:color w:val="000000"/>
                <w:kern w:val="0"/>
                <w:szCs w:val="21"/>
              </w:rPr>
              <w:t>类</w:t>
            </w:r>
          </w:p>
        </w:tc>
        <w:tc>
          <w:tcPr>
            <w:tcW w:w="6309"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Cs w:val="21"/>
              </w:rPr>
            </w:pPr>
            <w:r>
              <w:rPr>
                <w:rFonts w:ascii="Times New Roman" w:hAnsi="宋体"/>
                <w:color w:val="000000"/>
                <w:kern w:val="0"/>
                <w:szCs w:val="21"/>
              </w:rPr>
              <w:t>除嘉峪关市、酒泉市以外其他地区</w:t>
            </w:r>
          </w:p>
        </w:tc>
        <w:tc>
          <w:tcPr>
            <w:tcW w:w="1433"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1800</w:t>
            </w:r>
          </w:p>
        </w:tc>
        <w:tc>
          <w:tcPr>
            <w:tcW w:w="1831"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1723</w:t>
            </w:r>
          </w:p>
        </w:tc>
        <w:tc>
          <w:tcPr>
            <w:tcW w:w="1559"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62" w:hRule="atLeast"/>
        </w:trPr>
        <w:tc>
          <w:tcPr>
            <w:tcW w:w="112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宋体"/>
                <w:color w:val="000000"/>
                <w:kern w:val="0"/>
                <w:szCs w:val="21"/>
              </w:rPr>
              <w:t>河北</w:t>
            </w:r>
          </w:p>
        </w:tc>
        <w:tc>
          <w:tcPr>
            <w:tcW w:w="11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w:t>
            </w:r>
            <w:r>
              <w:rPr>
                <w:rFonts w:ascii="Times New Roman" w:hAnsi="宋体"/>
                <w:color w:val="000000"/>
                <w:kern w:val="0"/>
                <w:szCs w:val="21"/>
              </w:rPr>
              <w:t>类</w:t>
            </w:r>
          </w:p>
        </w:tc>
        <w:tc>
          <w:tcPr>
            <w:tcW w:w="6309"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Cs w:val="21"/>
              </w:rPr>
            </w:pPr>
            <w:r>
              <w:rPr>
                <w:rFonts w:ascii="Times New Roman" w:hAnsi="宋体"/>
                <w:color w:val="000000"/>
                <w:kern w:val="0"/>
                <w:szCs w:val="21"/>
              </w:rPr>
              <w:t>张家口市</w:t>
            </w:r>
          </w:p>
        </w:tc>
        <w:tc>
          <w:tcPr>
            <w:tcW w:w="1433"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1900</w:t>
            </w:r>
          </w:p>
        </w:tc>
        <w:tc>
          <w:tcPr>
            <w:tcW w:w="1831"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2218</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62" w:hRule="atLeast"/>
        </w:trPr>
        <w:tc>
          <w:tcPr>
            <w:tcW w:w="1129"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宋体"/>
                <w:color w:val="000000"/>
                <w:kern w:val="0"/>
                <w:szCs w:val="21"/>
              </w:rPr>
              <w:t>宁夏</w:t>
            </w:r>
          </w:p>
        </w:tc>
        <w:tc>
          <w:tcPr>
            <w:tcW w:w="1129"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III</w:t>
            </w:r>
            <w:r>
              <w:rPr>
                <w:rFonts w:ascii="Times New Roman" w:hAnsi="宋体"/>
                <w:color w:val="000000"/>
                <w:kern w:val="0"/>
                <w:szCs w:val="21"/>
              </w:rPr>
              <w:t>类</w:t>
            </w:r>
          </w:p>
        </w:tc>
        <w:tc>
          <w:tcPr>
            <w:tcW w:w="6309"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Cs w:val="21"/>
              </w:rPr>
            </w:pPr>
            <w:r>
              <w:rPr>
                <w:rFonts w:ascii="Times New Roman" w:hAnsi="宋体"/>
                <w:color w:val="000000"/>
                <w:kern w:val="0"/>
                <w:szCs w:val="21"/>
              </w:rPr>
              <w:t>宁夏</w:t>
            </w:r>
          </w:p>
        </w:tc>
        <w:tc>
          <w:tcPr>
            <w:tcW w:w="1433"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1850</w:t>
            </w:r>
          </w:p>
        </w:tc>
        <w:tc>
          <w:tcPr>
            <w:tcW w:w="1831"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1888</w:t>
            </w:r>
          </w:p>
        </w:tc>
        <w:tc>
          <w:tcPr>
            <w:tcW w:w="1559"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62" w:hRule="atLeast"/>
        </w:trPr>
        <w:tc>
          <w:tcPr>
            <w:tcW w:w="1129"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宋体"/>
                <w:color w:val="000000"/>
                <w:kern w:val="0"/>
                <w:szCs w:val="21"/>
              </w:rPr>
              <w:t>黑龙江</w:t>
            </w:r>
          </w:p>
        </w:tc>
        <w:tc>
          <w:tcPr>
            <w:tcW w:w="1129"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III</w:t>
            </w:r>
            <w:r>
              <w:rPr>
                <w:rFonts w:ascii="Times New Roman" w:hAnsi="宋体"/>
                <w:color w:val="000000"/>
                <w:kern w:val="0"/>
                <w:szCs w:val="21"/>
              </w:rPr>
              <w:t>类</w:t>
            </w:r>
          </w:p>
        </w:tc>
        <w:tc>
          <w:tcPr>
            <w:tcW w:w="6309"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Cs w:val="21"/>
              </w:rPr>
            </w:pPr>
            <w:r>
              <w:rPr>
                <w:rFonts w:ascii="Times New Roman" w:hAnsi="宋体"/>
                <w:color w:val="000000"/>
                <w:kern w:val="0"/>
                <w:szCs w:val="21"/>
              </w:rPr>
              <w:t>鸡西市、双鸭山市、七台河市、绥化市、伊春市、大兴安岭地区</w:t>
            </w:r>
          </w:p>
        </w:tc>
        <w:tc>
          <w:tcPr>
            <w:tcW w:w="1433"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1900</w:t>
            </w:r>
          </w:p>
        </w:tc>
        <w:tc>
          <w:tcPr>
            <w:tcW w:w="1831"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2224</w:t>
            </w:r>
          </w:p>
        </w:tc>
        <w:tc>
          <w:tcPr>
            <w:tcW w:w="1559"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62" w:hRule="atLeast"/>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1129"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IV</w:t>
            </w:r>
            <w:r>
              <w:rPr>
                <w:rFonts w:ascii="Times New Roman" w:hAnsi="宋体"/>
                <w:color w:val="000000"/>
                <w:kern w:val="0"/>
                <w:szCs w:val="21"/>
              </w:rPr>
              <w:t>类</w:t>
            </w:r>
          </w:p>
        </w:tc>
        <w:tc>
          <w:tcPr>
            <w:tcW w:w="6309"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Cs w:val="21"/>
              </w:rPr>
            </w:pPr>
            <w:r>
              <w:rPr>
                <w:rFonts w:ascii="Times New Roman" w:hAnsi="宋体"/>
                <w:color w:val="000000"/>
                <w:kern w:val="0"/>
                <w:szCs w:val="21"/>
              </w:rPr>
              <w:t>黑龙江省其他地区</w:t>
            </w:r>
          </w:p>
        </w:tc>
        <w:tc>
          <w:tcPr>
            <w:tcW w:w="1433"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1850</w:t>
            </w:r>
          </w:p>
        </w:tc>
        <w:tc>
          <w:tcPr>
            <w:tcW w:w="1831"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2121</w:t>
            </w:r>
          </w:p>
        </w:tc>
        <w:tc>
          <w:tcPr>
            <w:tcW w:w="1559"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62" w:hRule="atLeast"/>
        </w:trPr>
        <w:tc>
          <w:tcPr>
            <w:tcW w:w="1129"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宋体"/>
                <w:color w:val="000000"/>
                <w:kern w:val="0"/>
                <w:szCs w:val="21"/>
              </w:rPr>
              <w:t>吉林</w:t>
            </w:r>
          </w:p>
        </w:tc>
        <w:tc>
          <w:tcPr>
            <w:tcW w:w="1129"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III</w:t>
            </w:r>
            <w:r>
              <w:rPr>
                <w:rFonts w:ascii="Times New Roman" w:hAnsi="宋体"/>
                <w:color w:val="000000"/>
                <w:kern w:val="0"/>
                <w:szCs w:val="21"/>
              </w:rPr>
              <w:t>类</w:t>
            </w:r>
          </w:p>
        </w:tc>
        <w:tc>
          <w:tcPr>
            <w:tcW w:w="6309"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Cs w:val="21"/>
              </w:rPr>
            </w:pPr>
            <w:r>
              <w:rPr>
                <w:rFonts w:ascii="Times New Roman" w:hAnsi="宋体"/>
                <w:color w:val="000000"/>
                <w:kern w:val="0"/>
                <w:szCs w:val="21"/>
              </w:rPr>
              <w:t>白城市、松原市</w:t>
            </w:r>
          </w:p>
        </w:tc>
        <w:tc>
          <w:tcPr>
            <w:tcW w:w="1433"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1800</w:t>
            </w:r>
          </w:p>
        </w:tc>
        <w:tc>
          <w:tcPr>
            <w:tcW w:w="1831"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2019</w:t>
            </w:r>
          </w:p>
        </w:tc>
        <w:tc>
          <w:tcPr>
            <w:tcW w:w="1559"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62" w:hRule="atLeast"/>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1129"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IV</w:t>
            </w:r>
            <w:r>
              <w:rPr>
                <w:rFonts w:ascii="Times New Roman" w:hAnsi="宋体"/>
                <w:color w:val="000000"/>
                <w:kern w:val="0"/>
                <w:szCs w:val="21"/>
              </w:rPr>
              <w:t>类</w:t>
            </w:r>
          </w:p>
        </w:tc>
        <w:tc>
          <w:tcPr>
            <w:tcW w:w="6309"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Cs w:val="21"/>
              </w:rPr>
            </w:pPr>
            <w:r>
              <w:rPr>
                <w:rFonts w:ascii="Times New Roman" w:hAnsi="宋体"/>
                <w:color w:val="000000"/>
                <w:kern w:val="0"/>
                <w:szCs w:val="21"/>
              </w:rPr>
              <w:t>吉林省其他地区</w:t>
            </w:r>
          </w:p>
        </w:tc>
        <w:tc>
          <w:tcPr>
            <w:tcW w:w="1433"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1800</w:t>
            </w:r>
          </w:p>
        </w:tc>
        <w:tc>
          <w:tcPr>
            <w:tcW w:w="1831"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2321</w:t>
            </w:r>
          </w:p>
        </w:tc>
        <w:tc>
          <w:tcPr>
            <w:tcW w:w="1559"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62" w:hRule="atLeast"/>
        </w:trPr>
        <w:tc>
          <w:tcPr>
            <w:tcW w:w="1129"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宋体"/>
                <w:color w:val="000000"/>
                <w:kern w:val="0"/>
                <w:szCs w:val="21"/>
              </w:rPr>
              <w:t>辽宁</w:t>
            </w:r>
          </w:p>
        </w:tc>
        <w:tc>
          <w:tcPr>
            <w:tcW w:w="1129"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IV</w:t>
            </w:r>
            <w:r>
              <w:rPr>
                <w:rFonts w:ascii="Times New Roman" w:hAnsi="宋体"/>
                <w:color w:val="000000"/>
                <w:kern w:val="0"/>
                <w:szCs w:val="21"/>
              </w:rPr>
              <w:t>类</w:t>
            </w:r>
          </w:p>
        </w:tc>
        <w:tc>
          <w:tcPr>
            <w:tcW w:w="6309"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Cs w:val="21"/>
              </w:rPr>
            </w:pPr>
            <w:r>
              <w:rPr>
                <w:rFonts w:ascii="Times New Roman" w:hAnsi="宋体"/>
                <w:color w:val="000000"/>
                <w:kern w:val="0"/>
                <w:szCs w:val="21"/>
              </w:rPr>
              <w:t>辽宁</w:t>
            </w:r>
          </w:p>
        </w:tc>
        <w:tc>
          <w:tcPr>
            <w:tcW w:w="1433"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1850</w:t>
            </w:r>
          </w:p>
        </w:tc>
        <w:tc>
          <w:tcPr>
            <w:tcW w:w="1831"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2264</w:t>
            </w:r>
          </w:p>
        </w:tc>
        <w:tc>
          <w:tcPr>
            <w:tcW w:w="1559"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62" w:hRule="atLeast"/>
        </w:trPr>
        <w:tc>
          <w:tcPr>
            <w:tcW w:w="1129"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宋体"/>
                <w:color w:val="000000"/>
                <w:kern w:val="0"/>
                <w:szCs w:val="21"/>
              </w:rPr>
              <w:t>山西</w:t>
            </w:r>
          </w:p>
        </w:tc>
        <w:tc>
          <w:tcPr>
            <w:tcW w:w="1129"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IV</w:t>
            </w:r>
            <w:r>
              <w:rPr>
                <w:rFonts w:ascii="Times New Roman" w:hAnsi="宋体"/>
                <w:color w:val="000000"/>
                <w:kern w:val="0"/>
                <w:szCs w:val="21"/>
              </w:rPr>
              <w:t>类</w:t>
            </w:r>
          </w:p>
        </w:tc>
        <w:tc>
          <w:tcPr>
            <w:tcW w:w="6309"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Cs w:val="21"/>
              </w:rPr>
            </w:pPr>
            <w:r>
              <w:rPr>
                <w:rFonts w:ascii="Times New Roman" w:hAnsi="宋体"/>
                <w:color w:val="000000"/>
                <w:kern w:val="0"/>
                <w:szCs w:val="21"/>
              </w:rPr>
              <w:t>忻州市、朔州市、大同市</w:t>
            </w:r>
          </w:p>
        </w:tc>
        <w:tc>
          <w:tcPr>
            <w:tcW w:w="1433"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1900</w:t>
            </w:r>
          </w:p>
        </w:tc>
        <w:tc>
          <w:tcPr>
            <w:tcW w:w="1831"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2267</w:t>
            </w:r>
          </w:p>
        </w:tc>
        <w:tc>
          <w:tcPr>
            <w:tcW w:w="1559"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367</w:t>
            </w:r>
          </w:p>
        </w:tc>
      </w:tr>
    </w:tbl>
    <w:p>
      <w:pPr>
        <w:jc w:val="center"/>
        <w:rPr>
          <w:rFonts w:ascii="Times New Roman" w:hAnsi="Times New Roman"/>
          <w:b/>
          <w:color w:val="000000"/>
          <w:kern w:val="0"/>
          <w:sz w:val="28"/>
          <w:szCs w:val="20"/>
        </w:rPr>
      </w:pPr>
    </w:p>
    <w:p>
      <w:pPr>
        <w:pStyle w:val="16"/>
        <w:rPr>
          <w:rFonts w:eastAsia="黑体"/>
        </w:rPr>
      </w:pPr>
      <w:r>
        <w:rPr>
          <w:rFonts w:hAnsi="黑体" w:eastAsia="黑体"/>
        </w:rPr>
        <w:t>表</w:t>
      </w:r>
      <w:r>
        <w:rPr>
          <w:rFonts w:eastAsia="黑体"/>
        </w:rPr>
        <w:t>4  2018</w:t>
      </w:r>
      <w:r>
        <w:rPr>
          <w:rFonts w:hAnsi="黑体" w:eastAsia="黑体"/>
        </w:rPr>
        <w:t>年光伏发电重点地区最低保障收购年利用小时数落实情况</w:t>
      </w:r>
    </w:p>
    <w:tbl>
      <w:tblPr>
        <w:tblW w:w="135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270"/>
        <w:gridCol w:w="1270"/>
        <w:gridCol w:w="5080"/>
        <w:gridCol w:w="2000"/>
        <w:gridCol w:w="2066"/>
        <w:gridCol w:w="18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277" w:hRule="atLeast"/>
        </w:trPr>
        <w:tc>
          <w:tcPr>
            <w:tcW w:w="12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kern w:val="0"/>
                <w:sz w:val="22"/>
              </w:rPr>
            </w:pPr>
            <w:r>
              <w:rPr>
                <w:rFonts w:ascii="宋体" w:hAnsi="宋体"/>
                <w:b/>
                <w:bCs/>
                <w:kern w:val="0"/>
                <w:sz w:val="22"/>
              </w:rPr>
              <w:t>省（区）</w:t>
            </w:r>
          </w:p>
        </w:tc>
        <w:tc>
          <w:tcPr>
            <w:tcW w:w="1270"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2"/>
              </w:rPr>
            </w:pPr>
            <w:r>
              <w:rPr>
                <w:rFonts w:ascii="宋体" w:hAnsi="宋体"/>
                <w:b/>
                <w:bCs/>
                <w:kern w:val="0"/>
                <w:sz w:val="22"/>
              </w:rPr>
              <w:t>资源区</w:t>
            </w:r>
          </w:p>
        </w:tc>
        <w:tc>
          <w:tcPr>
            <w:tcW w:w="5080"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2"/>
              </w:rPr>
            </w:pPr>
            <w:r>
              <w:rPr>
                <w:rFonts w:ascii="宋体" w:hAnsi="宋体"/>
                <w:b/>
                <w:bCs/>
                <w:kern w:val="0"/>
                <w:sz w:val="22"/>
              </w:rPr>
              <w:t>地区</w:t>
            </w:r>
          </w:p>
        </w:tc>
        <w:tc>
          <w:tcPr>
            <w:tcW w:w="2000"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2"/>
              </w:rPr>
            </w:pPr>
            <w:r>
              <w:rPr>
                <w:rFonts w:ascii="宋体" w:hAnsi="宋体"/>
                <w:b/>
                <w:bCs/>
                <w:kern w:val="0"/>
                <w:sz w:val="22"/>
              </w:rPr>
              <w:t>保障性收购利用小时数</w:t>
            </w:r>
          </w:p>
        </w:tc>
        <w:tc>
          <w:tcPr>
            <w:tcW w:w="2066"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2"/>
              </w:rPr>
            </w:pPr>
            <w:r>
              <w:rPr>
                <w:rFonts w:ascii="宋体" w:hAnsi="宋体"/>
                <w:b/>
                <w:bCs/>
                <w:kern w:val="0"/>
                <w:sz w:val="22"/>
              </w:rPr>
              <w:t>2018年实际利用小时数</w:t>
            </w:r>
          </w:p>
        </w:tc>
        <w:tc>
          <w:tcPr>
            <w:tcW w:w="1817"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2"/>
              </w:rPr>
            </w:pPr>
            <w:r>
              <w:rPr>
                <w:rFonts w:ascii="宋体" w:hAnsi="宋体"/>
                <w:b/>
                <w:bCs/>
                <w:kern w:val="0"/>
                <w:sz w:val="22"/>
              </w:rPr>
              <w:t>2018年偏差小时数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67" w:hRule="atLeast"/>
        </w:trPr>
        <w:tc>
          <w:tcPr>
            <w:tcW w:w="1270"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宋体"/>
                <w:color w:val="000000"/>
                <w:kern w:val="0"/>
                <w:szCs w:val="21"/>
              </w:rPr>
              <w:t>内蒙古</w:t>
            </w:r>
          </w:p>
        </w:tc>
        <w:tc>
          <w:tcPr>
            <w:tcW w:w="1270"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w:t>
            </w:r>
            <w:r>
              <w:rPr>
                <w:rFonts w:ascii="Times New Roman" w:hAnsi="宋体"/>
                <w:color w:val="000000"/>
                <w:kern w:val="0"/>
                <w:szCs w:val="21"/>
              </w:rPr>
              <w:t>类</w:t>
            </w:r>
          </w:p>
        </w:tc>
        <w:tc>
          <w:tcPr>
            <w:tcW w:w="5080"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Cs w:val="21"/>
              </w:rPr>
            </w:pPr>
            <w:r>
              <w:rPr>
                <w:rFonts w:ascii="Times New Roman" w:hAnsi="宋体"/>
                <w:color w:val="000000"/>
                <w:kern w:val="0"/>
                <w:szCs w:val="21"/>
              </w:rPr>
              <w:t>除赤峰市、通辽市、兴安盟、呼伦贝尔市以外其他地区</w:t>
            </w:r>
          </w:p>
        </w:tc>
        <w:tc>
          <w:tcPr>
            <w:tcW w:w="2000"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1500</w:t>
            </w:r>
          </w:p>
        </w:tc>
        <w:tc>
          <w:tcPr>
            <w:tcW w:w="2066"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1649</w:t>
            </w:r>
          </w:p>
        </w:tc>
        <w:tc>
          <w:tcPr>
            <w:tcW w:w="1817"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7" w:hRule="atLeast"/>
        </w:trPr>
        <w:tc>
          <w:tcPr>
            <w:tcW w:w="127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1270"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w:t>
            </w:r>
            <w:r>
              <w:rPr>
                <w:rFonts w:ascii="Times New Roman" w:hAnsi="宋体"/>
                <w:color w:val="000000"/>
                <w:kern w:val="0"/>
                <w:szCs w:val="21"/>
              </w:rPr>
              <w:t>类</w:t>
            </w:r>
          </w:p>
        </w:tc>
        <w:tc>
          <w:tcPr>
            <w:tcW w:w="5080"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Cs w:val="21"/>
              </w:rPr>
            </w:pPr>
            <w:r>
              <w:rPr>
                <w:rFonts w:ascii="Times New Roman" w:hAnsi="宋体"/>
                <w:color w:val="000000"/>
                <w:kern w:val="0"/>
                <w:szCs w:val="21"/>
              </w:rPr>
              <w:t>赤峰市、通辽市、兴安盟、呼伦贝尔市</w:t>
            </w:r>
          </w:p>
        </w:tc>
        <w:tc>
          <w:tcPr>
            <w:tcW w:w="2000"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1400</w:t>
            </w:r>
          </w:p>
        </w:tc>
        <w:tc>
          <w:tcPr>
            <w:tcW w:w="2066"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1525</w:t>
            </w:r>
          </w:p>
        </w:tc>
        <w:tc>
          <w:tcPr>
            <w:tcW w:w="1817"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24" w:hRule="atLeast"/>
        </w:trPr>
        <w:tc>
          <w:tcPr>
            <w:tcW w:w="127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宋体"/>
                <w:color w:val="000000"/>
                <w:kern w:val="0"/>
                <w:szCs w:val="21"/>
              </w:rPr>
              <w:t>新疆</w:t>
            </w:r>
          </w:p>
        </w:tc>
        <w:tc>
          <w:tcPr>
            <w:tcW w:w="127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w:t>
            </w:r>
            <w:r>
              <w:rPr>
                <w:rFonts w:ascii="Times New Roman" w:hAnsi="宋体"/>
                <w:color w:val="000000"/>
                <w:kern w:val="0"/>
                <w:szCs w:val="21"/>
              </w:rPr>
              <w:t>类</w:t>
            </w:r>
          </w:p>
        </w:tc>
        <w:tc>
          <w:tcPr>
            <w:tcW w:w="5080"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Cs w:val="21"/>
              </w:rPr>
            </w:pPr>
            <w:r>
              <w:rPr>
                <w:rFonts w:ascii="Times New Roman" w:hAnsi="宋体"/>
                <w:color w:val="000000"/>
                <w:kern w:val="0"/>
                <w:szCs w:val="21"/>
              </w:rPr>
              <w:t>哈密、塔城、阿勒泰、克拉玛依</w:t>
            </w:r>
          </w:p>
        </w:tc>
        <w:tc>
          <w:tcPr>
            <w:tcW w:w="200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1500</w:t>
            </w:r>
          </w:p>
        </w:tc>
        <w:tc>
          <w:tcPr>
            <w:tcW w:w="206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1353</w:t>
            </w:r>
          </w:p>
        </w:tc>
        <w:tc>
          <w:tcPr>
            <w:tcW w:w="181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3" w:hRule="atLeast"/>
        </w:trPr>
        <w:tc>
          <w:tcPr>
            <w:tcW w:w="127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p>
        </w:tc>
        <w:tc>
          <w:tcPr>
            <w:tcW w:w="127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w:t>
            </w:r>
            <w:r>
              <w:rPr>
                <w:rFonts w:ascii="Times New Roman" w:hAnsi="宋体"/>
                <w:color w:val="000000"/>
                <w:kern w:val="0"/>
                <w:szCs w:val="21"/>
              </w:rPr>
              <w:t>类</w:t>
            </w:r>
          </w:p>
        </w:tc>
        <w:tc>
          <w:tcPr>
            <w:tcW w:w="5080"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Cs w:val="21"/>
              </w:rPr>
            </w:pPr>
            <w:r>
              <w:rPr>
                <w:rFonts w:ascii="Times New Roman" w:hAnsi="宋体"/>
                <w:color w:val="000000"/>
                <w:kern w:val="0"/>
                <w:szCs w:val="21"/>
              </w:rPr>
              <w:t>除</w:t>
            </w:r>
            <w:r>
              <w:rPr>
                <w:rFonts w:ascii="Times New Roman" w:hAnsi="Times New Roman"/>
                <w:color w:val="000000"/>
                <w:kern w:val="0"/>
                <w:szCs w:val="21"/>
              </w:rPr>
              <w:t>I</w:t>
            </w:r>
            <w:r>
              <w:rPr>
                <w:rFonts w:ascii="Times New Roman" w:hAnsi="宋体"/>
                <w:color w:val="000000"/>
                <w:kern w:val="0"/>
                <w:szCs w:val="21"/>
              </w:rPr>
              <w:t>类外其他地区</w:t>
            </w:r>
          </w:p>
        </w:tc>
        <w:tc>
          <w:tcPr>
            <w:tcW w:w="200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1350</w:t>
            </w:r>
          </w:p>
        </w:tc>
        <w:tc>
          <w:tcPr>
            <w:tcW w:w="206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1217</w:t>
            </w:r>
          </w:p>
        </w:tc>
        <w:tc>
          <w:tcPr>
            <w:tcW w:w="181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6" w:hRule="atLeast"/>
        </w:trPr>
        <w:tc>
          <w:tcPr>
            <w:tcW w:w="127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宋体"/>
                <w:color w:val="000000"/>
                <w:kern w:val="0"/>
                <w:szCs w:val="21"/>
              </w:rPr>
              <w:t>甘肃</w:t>
            </w:r>
          </w:p>
        </w:tc>
        <w:tc>
          <w:tcPr>
            <w:tcW w:w="127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w:t>
            </w:r>
            <w:r>
              <w:rPr>
                <w:rFonts w:ascii="Times New Roman" w:hAnsi="宋体"/>
                <w:color w:val="000000"/>
                <w:kern w:val="0"/>
                <w:szCs w:val="21"/>
              </w:rPr>
              <w:t>类</w:t>
            </w:r>
          </w:p>
        </w:tc>
        <w:tc>
          <w:tcPr>
            <w:tcW w:w="5080"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Cs w:val="21"/>
              </w:rPr>
            </w:pPr>
            <w:r>
              <w:rPr>
                <w:rFonts w:ascii="Times New Roman" w:hAnsi="宋体"/>
                <w:color w:val="000000"/>
                <w:kern w:val="0"/>
                <w:szCs w:val="21"/>
              </w:rPr>
              <w:t>嘉峪关、武威、张掖、酒泉、敦煌、金昌</w:t>
            </w:r>
          </w:p>
        </w:tc>
        <w:tc>
          <w:tcPr>
            <w:tcW w:w="200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1500</w:t>
            </w:r>
          </w:p>
        </w:tc>
        <w:tc>
          <w:tcPr>
            <w:tcW w:w="206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1328</w:t>
            </w:r>
          </w:p>
        </w:tc>
        <w:tc>
          <w:tcPr>
            <w:tcW w:w="181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12" w:hRule="atLeast"/>
        </w:trPr>
        <w:tc>
          <w:tcPr>
            <w:tcW w:w="127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p>
        </w:tc>
        <w:tc>
          <w:tcPr>
            <w:tcW w:w="127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w:t>
            </w:r>
            <w:r>
              <w:rPr>
                <w:rFonts w:ascii="Times New Roman" w:hAnsi="宋体"/>
                <w:color w:val="000000"/>
                <w:kern w:val="0"/>
                <w:szCs w:val="21"/>
              </w:rPr>
              <w:t>类</w:t>
            </w:r>
          </w:p>
        </w:tc>
        <w:tc>
          <w:tcPr>
            <w:tcW w:w="5080"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Cs w:val="21"/>
              </w:rPr>
            </w:pPr>
            <w:r>
              <w:rPr>
                <w:rFonts w:ascii="Times New Roman" w:hAnsi="宋体"/>
                <w:color w:val="000000"/>
                <w:kern w:val="0"/>
                <w:szCs w:val="21"/>
              </w:rPr>
              <w:t>除</w:t>
            </w:r>
            <w:r>
              <w:rPr>
                <w:rFonts w:ascii="Times New Roman" w:hAnsi="Times New Roman"/>
                <w:color w:val="000000"/>
                <w:kern w:val="0"/>
                <w:szCs w:val="21"/>
              </w:rPr>
              <w:t>I</w:t>
            </w:r>
            <w:r>
              <w:rPr>
                <w:rFonts w:ascii="Times New Roman" w:hAnsi="宋体"/>
                <w:color w:val="000000"/>
                <w:kern w:val="0"/>
                <w:szCs w:val="21"/>
              </w:rPr>
              <w:t>类外其他地区</w:t>
            </w:r>
          </w:p>
        </w:tc>
        <w:tc>
          <w:tcPr>
            <w:tcW w:w="200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1400</w:t>
            </w:r>
          </w:p>
        </w:tc>
        <w:tc>
          <w:tcPr>
            <w:tcW w:w="206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1200</w:t>
            </w:r>
          </w:p>
        </w:tc>
        <w:tc>
          <w:tcPr>
            <w:tcW w:w="181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7" w:hRule="atLeast"/>
        </w:trPr>
        <w:tc>
          <w:tcPr>
            <w:tcW w:w="127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宋体"/>
                <w:color w:val="000000"/>
                <w:kern w:val="0"/>
                <w:szCs w:val="21"/>
              </w:rPr>
              <w:t>青海</w:t>
            </w:r>
          </w:p>
        </w:tc>
        <w:tc>
          <w:tcPr>
            <w:tcW w:w="127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w:t>
            </w:r>
            <w:r>
              <w:rPr>
                <w:rFonts w:ascii="Times New Roman" w:hAnsi="宋体"/>
                <w:color w:val="000000"/>
                <w:kern w:val="0"/>
                <w:szCs w:val="21"/>
              </w:rPr>
              <w:t>类</w:t>
            </w:r>
          </w:p>
        </w:tc>
        <w:tc>
          <w:tcPr>
            <w:tcW w:w="5080"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Cs w:val="21"/>
              </w:rPr>
            </w:pPr>
            <w:r>
              <w:rPr>
                <w:rFonts w:ascii="Times New Roman" w:hAnsi="宋体"/>
                <w:color w:val="000000"/>
                <w:kern w:val="0"/>
                <w:szCs w:val="21"/>
              </w:rPr>
              <w:t>海西</w:t>
            </w:r>
          </w:p>
        </w:tc>
        <w:tc>
          <w:tcPr>
            <w:tcW w:w="200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1500</w:t>
            </w:r>
          </w:p>
        </w:tc>
        <w:tc>
          <w:tcPr>
            <w:tcW w:w="206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1505</w:t>
            </w:r>
          </w:p>
        </w:tc>
        <w:tc>
          <w:tcPr>
            <w:tcW w:w="181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23" w:hRule="atLeast"/>
        </w:trPr>
        <w:tc>
          <w:tcPr>
            <w:tcW w:w="127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p>
        </w:tc>
        <w:tc>
          <w:tcPr>
            <w:tcW w:w="127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w:t>
            </w:r>
            <w:r>
              <w:rPr>
                <w:rFonts w:ascii="Times New Roman" w:hAnsi="宋体"/>
                <w:color w:val="000000"/>
                <w:kern w:val="0"/>
                <w:szCs w:val="21"/>
              </w:rPr>
              <w:t>类</w:t>
            </w:r>
          </w:p>
        </w:tc>
        <w:tc>
          <w:tcPr>
            <w:tcW w:w="5080"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Cs w:val="21"/>
              </w:rPr>
            </w:pPr>
            <w:r>
              <w:rPr>
                <w:rFonts w:ascii="Times New Roman" w:hAnsi="宋体"/>
                <w:color w:val="000000"/>
                <w:kern w:val="0"/>
                <w:szCs w:val="21"/>
              </w:rPr>
              <w:t>除</w:t>
            </w:r>
            <w:r>
              <w:rPr>
                <w:rFonts w:ascii="Times New Roman" w:hAnsi="Times New Roman"/>
                <w:color w:val="000000"/>
                <w:kern w:val="0"/>
                <w:szCs w:val="21"/>
              </w:rPr>
              <w:t>I</w:t>
            </w:r>
            <w:r>
              <w:rPr>
                <w:rFonts w:ascii="Times New Roman" w:hAnsi="宋体"/>
                <w:color w:val="000000"/>
                <w:kern w:val="0"/>
                <w:szCs w:val="21"/>
              </w:rPr>
              <w:t>类外其他地区</w:t>
            </w:r>
          </w:p>
        </w:tc>
        <w:tc>
          <w:tcPr>
            <w:tcW w:w="200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1450</w:t>
            </w:r>
          </w:p>
        </w:tc>
        <w:tc>
          <w:tcPr>
            <w:tcW w:w="206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1461</w:t>
            </w:r>
          </w:p>
        </w:tc>
        <w:tc>
          <w:tcPr>
            <w:tcW w:w="181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6" w:hRule="atLeast"/>
        </w:trPr>
        <w:tc>
          <w:tcPr>
            <w:tcW w:w="127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宋体"/>
                <w:color w:val="000000"/>
                <w:kern w:val="0"/>
                <w:szCs w:val="21"/>
              </w:rPr>
              <w:t>宁夏</w:t>
            </w:r>
          </w:p>
        </w:tc>
        <w:tc>
          <w:tcPr>
            <w:tcW w:w="127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w:t>
            </w:r>
            <w:r>
              <w:rPr>
                <w:rFonts w:ascii="Times New Roman" w:hAnsi="宋体"/>
                <w:color w:val="000000"/>
                <w:kern w:val="0"/>
                <w:szCs w:val="21"/>
              </w:rPr>
              <w:t>类</w:t>
            </w:r>
          </w:p>
        </w:tc>
        <w:tc>
          <w:tcPr>
            <w:tcW w:w="5080"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Cs w:val="21"/>
              </w:rPr>
            </w:pPr>
            <w:r>
              <w:rPr>
                <w:rFonts w:ascii="Times New Roman" w:hAnsi="宋体"/>
                <w:color w:val="000000"/>
                <w:kern w:val="0"/>
                <w:szCs w:val="21"/>
              </w:rPr>
              <w:t>宁夏</w:t>
            </w:r>
          </w:p>
        </w:tc>
        <w:tc>
          <w:tcPr>
            <w:tcW w:w="200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1500</w:t>
            </w:r>
          </w:p>
        </w:tc>
        <w:tc>
          <w:tcPr>
            <w:tcW w:w="206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1376</w:t>
            </w:r>
          </w:p>
        </w:tc>
        <w:tc>
          <w:tcPr>
            <w:tcW w:w="181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62" w:hRule="atLeast"/>
        </w:trPr>
        <w:tc>
          <w:tcPr>
            <w:tcW w:w="127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宋体"/>
                <w:color w:val="000000"/>
                <w:kern w:val="0"/>
                <w:szCs w:val="21"/>
              </w:rPr>
              <w:t>陕西</w:t>
            </w:r>
          </w:p>
        </w:tc>
        <w:tc>
          <w:tcPr>
            <w:tcW w:w="127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w:t>
            </w:r>
            <w:r>
              <w:rPr>
                <w:rFonts w:ascii="Times New Roman" w:hAnsi="宋体"/>
                <w:color w:val="000000"/>
                <w:kern w:val="0"/>
                <w:szCs w:val="21"/>
              </w:rPr>
              <w:t>类</w:t>
            </w:r>
          </w:p>
        </w:tc>
        <w:tc>
          <w:tcPr>
            <w:tcW w:w="5080"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Cs w:val="21"/>
              </w:rPr>
            </w:pPr>
            <w:r>
              <w:rPr>
                <w:rFonts w:ascii="Times New Roman" w:hAnsi="宋体"/>
                <w:color w:val="000000"/>
                <w:kern w:val="0"/>
                <w:szCs w:val="21"/>
              </w:rPr>
              <w:t>榆林、延安</w:t>
            </w:r>
          </w:p>
        </w:tc>
        <w:tc>
          <w:tcPr>
            <w:tcW w:w="200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1300</w:t>
            </w:r>
          </w:p>
        </w:tc>
        <w:tc>
          <w:tcPr>
            <w:tcW w:w="206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1316</w:t>
            </w:r>
          </w:p>
        </w:tc>
        <w:tc>
          <w:tcPr>
            <w:tcW w:w="181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38" w:hRule="atLeast"/>
        </w:trPr>
        <w:tc>
          <w:tcPr>
            <w:tcW w:w="127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宋体"/>
                <w:color w:val="000000"/>
                <w:kern w:val="0"/>
                <w:szCs w:val="21"/>
              </w:rPr>
              <w:t>黑龙江</w:t>
            </w:r>
          </w:p>
        </w:tc>
        <w:tc>
          <w:tcPr>
            <w:tcW w:w="127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w:t>
            </w:r>
            <w:r>
              <w:rPr>
                <w:rFonts w:ascii="Times New Roman" w:hAnsi="宋体"/>
                <w:color w:val="000000"/>
                <w:kern w:val="0"/>
                <w:szCs w:val="21"/>
              </w:rPr>
              <w:t>类</w:t>
            </w:r>
          </w:p>
        </w:tc>
        <w:tc>
          <w:tcPr>
            <w:tcW w:w="5080"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Cs w:val="21"/>
              </w:rPr>
            </w:pPr>
            <w:r>
              <w:rPr>
                <w:rFonts w:ascii="Times New Roman" w:hAnsi="宋体"/>
                <w:color w:val="000000"/>
                <w:kern w:val="0"/>
                <w:szCs w:val="21"/>
              </w:rPr>
              <w:t>黑龙江</w:t>
            </w:r>
          </w:p>
        </w:tc>
        <w:tc>
          <w:tcPr>
            <w:tcW w:w="200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1300</w:t>
            </w:r>
          </w:p>
        </w:tc>
        <w:tc>
          <w:tcPr>
            <w:tcW w:w="206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1311</w:t>
            </w:r>
          </w:p>
        </w:tc>
        <w:tc>
          <w:tcPr>
            <w:tcW w:w="181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127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宋体"/>
                <w:color w:val="000000"/>
                <w:kern w:val="0"/>
                <w:szCs w:val="21"/>
              </w:rPr>
              <w:t>吉林</w:t>
            </w:r>
          </w:p>
        </w:tc>
        <w:tc>
          <w:tcPr>
            <w:tcW w:w="127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w:t>
            </w:r>
            <w:r>
              <w:rPr>
                <w:rFonts w:ascii="Times New Roman" w:hAnsi="宋体"/>
                <w:color w:val="000000"/>
                <w:kern w:val="0"/>
                <w:szCs w:val="21"/>
              </w:rPr>
              <w:t>类</w:t>
            </w:r>
          </w:p>
        </w:tc>
        <w:tc>
          <w:tcPr>
            <w:tcW w:w="5080"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Cs w:val="21"/>
              </w:rPr>
            </w:pPr>
            <w:r>
              <w:rPr>
                <w:rFonts w:ascii="Times New Roman" w:hAnsi="宋体"/>
                <w:color w:val="000000"/>
                <w:kern w:val="0"/>
                <w:szCs w:val="21"/>
              </w:rPr>
              <w:t>吉林</w:t>
            </w:r>
          </w:p>
        </w:tc>
        <w:tc>
          <w:tcPr>
            <w:tcW w:w="200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1300</w:t>
            </w:r>
          </w:p>
        </w:tc>
        <w:tc>
          <w:tcPr>
            <w:tcW w:w="206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1283</w:t>
            </w:r>
          </w:p>
        </w:tc>
        <w:tc>
          <w:tcPr>
            <w:tcW w:w="181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2" w:hRule="atLeast"/>
        </w:trPr>
        <w:tc>
          <w:tcPr>
            <w:tcW w:w="127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宋体"/>
                <w:color w:val="000000"/>
                <w:kern w:val="0"/>
                <w:szCs w:val="21"/>
              </w:rPr>
              <w:t>辽宁</w:t>
            </w:r>
          </w:p>
        </w:tc>
        <w:tc>
          <w:tcPr>
            <w:tcW w:w="127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w:t>
            </w:r>
            <w:r>
              <w:rPr>
                <w:rFonts w:ascii="Times New Roman" w:hAnsi="宋体"/>
                <w:color w:val="000000"/>
                <w:kern w:val="0"/>
                <w:szCs w:val="21"/>
              </w:rPr>
              <w:t>类</w:t>
            </w:r>
          </w:p>
        </w:tc>
        <w:tc>
          <w:tcPr>
            <w:tcW w:w="5080"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Cs w:val="21"/>
              </w:rPr>
            </w:pPr>
            <w:r>
              <w:rPr>
                <w:rFonts w:ascii="Times New Roman" w:hAnsi="宋体"/>
                <w:color w:val="000000"/>
                <w:kern w:val="0"/>
                <w:szCs w:val="21"/>
              </w:rPr>
              <w:t>辽宁</w:t>
            </w:r>
          </w:p>
        </w:tc>
        <w:tc>
          <w:tcPr>
            <w:tcW w:w="200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1300</w:t>
            </w:r>
          </w:p>
        </w:tc>
        <w:tc>
          <w:tcPr>
            <w:tcW w:w="206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1207</w:t>
            </w:r>
          </w:p>
        </w:tc>
        <w:tc>
          <w:tcPr>
            <w:tcW w:w="181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5" w:hRule="atLeast"/>
        </w:trPr>
        <w:tc>
          <w:tcPr>
            <w:tcW w:w="127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宋体"/>
                <w:color w:val="000000"/>
                <w:kern w:val="0"/>
                <w:szCs w:val="21"/>
              </w:rPr>
              <w:t>河北</w:t>
            </w:r>
          </w:p>
        </w:tc>
        <w:tc>
          <w:tcPr>
            <w:tcW w:w="127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w:t>
            </w:r>
            <w:r>
              <w:rPr>
                <w:rFonts w:ascii="Times New Roman" w:hAnsi="宋体"/>
                <w:color w:val="000000"/>
                <w:kern w:val="0"/>
                <w:szCs w:val="21"/>
              </w:rPr>
              <w:t>类</w:t>
            </w:r>
          </w:p>
        </w:tc>
        <w:tc>
          <w:tcPr>
            <w:tcW w:w="5080"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Cs w:val="21"/>
              </w:rPr>
            </w:pPr>
            <w:r>
              <w:rPr>
                <w:rFonts w:ascii="Times New Roman" w:hAnsi="宋体"/>
                <w:color w:val="000000"/>
                <w:kern w:val="0"/>
                <w:szCs w:val="21"/>
              </w:rPr>
              <w:t>承德、张家口、唐山、秦皇岛</w:t>
            </w:r>
          </w:p>
        </w:tc>
        <w:tc>
          <w:tcPr>
            <w:tcW w:w="200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1400</w:t>
            </w:r>
          </w:p>
        </w:tc>
        <w:tc>
          <w:tcPr>
            <w:tcW w:w="206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1372</w:t>
            </w:r>
          </w:p>
        </w:tc>
        <w:tc>
          <w:tcPr>
            <w:tcW w:w="181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63" w:hRule="atLeast"/>
        </w:trPr>
        <w:tc>
          <w:tcPr>
            <w:tcW w:w="127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宋体"/>
                <w:color w:val="000000"/>
                <w:kern w:val="0"/>
                <w:szCs w:val="21"/>
              </w:rPr>
              <w:t>山西</w:t>
            </w:r>
          </w:p>
        </w:tc>
        <w:tc>
          <w:tcPr>
            <w:tcW w:w="127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w:t>
            </w:r>
            <w:r>
              <w:rPr>
                <w:rFonts w:ascii="Times New Roman" w:hAnsi="宋体"/>
                <w:color w:val="000000"/>
                <w:kern w:val="0"/>
                <w:szCs w:val="21"/>
              </w:rPr>
              <w:t>类</w:t>
            </w:r>
          </w:p>
        </w:tc>
        <w:tc>
          <w:tcPr>
            <w:tcW w:w="5080"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Cs w:val="21"/>
              </w:rPr>
            </w:pPr>
            <w:r>
              <w:rPr>
                <w:rFonts w:ascii="Times New Roman" w:hAnsi="宋体"/>
                <w:color w:val="000000"/>
                <w:kern w:val="0"/>
                <w:szCs w:val="21"/>
              </w:rPr>
              <w:t>忻州、朔州、大同</w:t>
            </w:r>
          </w:p>
        </w:tc>
        <w:tc>
          <w:tcPr>
            <w:tcW w:w="200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1400</w:t>
            </w:r>
          </w:p>
        </w:tc>
        <w:tc>
          <w:tcPr>
            <w:tcW w:w="206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1355</w:t>
            </w:r>
          </w:p>
        </w:tc>
        <w:tc>
          <w:tcPr>
            <w:tcW w:w="181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-45</w:t>
            </w:r>
          </w:p>
        </w:tc>
      </w:tr>
    </w:tbl>
    <w:p>
      <w:pPr>
        <w:ind w:firstLine="600" w:firstLineChars="200"/>
        <w:rPr>
          <w:rFonts w:ascii="Times New Roman" w:hAnsi="Times New Roman" w:eastAsia="仿宋_GB2312"/>
          <w:sz w:val="30"/>
          <w:szCs w:val="30"/>
        </w:rPr>
      </w:pPr>
    </w:p>
    <w:p>
      <w:pPr>
        <w:ind w:firstLine="600" w:firstLineChars="200"/>
        <w:rPr>
          <w:rFonts w:ascii="Times New Roman" w:hAnsi="Times New Roman" w:eastAsia="仿宋_GB2312"/>
          <w:sz w:val="30"/>
          <w:szCs w:val="30"/>
        </w:rPr>
        <w:sectPr>
          <w:footerReference r:id="rId6" w:type="even"/>
          <w:pgSz w:w="16838" w:h="11906" w:orient="landscape"/>
          <w:pgMar w:top="1797" w:right="1440" w:bottom="1797" w:left="1440" w:header="851" w:footer="992" w:gutter="0"/>
          <w:cols w:space="425" w:num="1"/>
          <w:docGrid w:linePitch="312" w:charSpace="0"/>
        </w:sectPr>
      </w:pPr>
    </w:p>
    <w:p>
      <w:pPr>
        <w:pStyle w:val="2"/>
        <w:ind w:firstLine="600"/>
      </w:pPr>
      <w:r>
        <w:t>五、清洁能源消纳目标完成情况</w:t>
      </w:r>
    </w:p>
    <w:p>
      <w:pPr>
        <w:spacing w:line="600" w:lineRule="exact"/>
        <w:ind w:firstLine="600" w:firstLineChars="200"/>
        <w:rPr>
          <w:rFonts w:ascii="Times New Roman" w:hAnsi="Times New Roman" w:eastAsia="方正仿宋_GBK"/>
          <w:sz w:val="30"/>
          <w:szCs w:val="30"/>
        </w:rPr>
      </w:pPr>
      <w:r>
        <w:rPr>
          <w:rFonts w:hint="eastAsia" w:ascii="Times New Roman" w:hAnsi="Times New Roman" w:eastAsia="方正仿宋_GBK"/>
          <w:sz w:val="30"/>
          <w:szCs w:val="30"/>
        </w:rPr>
        <w:t>根据2018年国家发展改革委、国家能源局印发的《清洁能源消纳行动计划（2018-2020年）》（发改能源规〔2018〕1575号），所确定的分年度风电、光伏发电和水电消纳目标，2018年，全国平均风电利用率93%，超过了2018年风电利用率的目标，重点省区全部达到了2018年消纳目标；全国平均光伏发电利用率为97%，超过了2018年平均光伏发电利用率的目标，重点省区中，新疆光伏发电利用率低于目标0.5个百分点；全国平均水能利用率95%，达到了2018年平均水能利用率的目标，重点省区中，四川水能利用率低于目标3个百分点。</w:t>
      </w:r>
    </w:p>
    <w:p>
      <w:pPr>
        <w:pStyle w:val="16"/>
        <w:spacing w:before="120"/>
      </w:pPr>
      <w:r>
        <w:rPr>
          <w:rFonts w:hAnsi="黑体" w:eastAsia="黑体"/>
        </w:rPr>
        <w:t>表</w:t>
      </w:r>
      <w:r>
        <w:rPr>
          <w:rFonts w:eastAsia="黑体"/>
        </w:rPr>
        <w:t>5  2018</w:t>
      </w:r>
      <w:r>
        <w:rPr>
          <w:rFonts w:hAnsi="黑体" w:eastAsia="黑体"/>
        </w:rPr>
        <w:t>年清洁能源消纳目标完成情况</w:t>
      </w:r>
    </w:p>
    <w:tbl>
      <w:tblPr>
        <w:tblW w:w="81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28"/>
        <w:gridCol w:w="1536"/>
        <w:gridCol w:w="1538"/>
        <w:gridCol w:w="1536"/>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2" w:hRule="atLeast"/>
        </w:trPr>
        <w:tc>
          <w:tcPr>
            <w:tcW w:w="2028" w:type="dxa"/>
            <w:vAlign w:val="top"/>
          </w:tcPr>
          <w:p>
            <w:pPr>
              <w:widowControl/>
              <w:jc w:val="center"/>
              <w:rPr>
                <w:rFonts w:ascii="Times New Roman" w:hAnsi="Times New Roman"/>
                <w:b/>
                <w:bCs/>
                <w:color w:val="000000"/>
                <w:kern w:val="0"/>
                <w:sz w:val="22"/>
              </w:rPr>
            </w:pPr>
            <w:r>
              <w:rPr>
                <w:rFonts w:ascii="Times New Roman" w:hAnsi="Times New Roman"/>
                <w:b/>
                <w:bCs/>
                <w:color w:val="000000"/>
                <w:kern w:val="0"/>
                <w:sz w:val="22"/>
              </w:rPr>
              <w:t xml:space="preserve"> </w:t>
            </w:r>
          </w:p>
        </w:tc>
        <w:tc>
          <w:tcPr>
            <w:tcW w:w="3074" w:type="dxa"/>
            <w:gridSpan w:val="2"/>
            <w:vAlign w:val="top"/>
          </w:tcPr>
          <w:p>
            <w:pPr>
              <w:widowControl/>
              <w:jc w:val="center"/>
              <w:rPr>
                <w:rFonts w:ascii="Times New Roman" w:hAnsi="Times New Roman"/>
                <w:b/>
                <w:bCs/>
                <w:color w:val="000000"/>
                <w:kern w:val="0"/>
                <w:sz w:val="22"/>
              </w:rPr>
            </w:pPr>
            <w:r>
              <w:rPr>
                <w:rFonts w:ascii="Times New Roman" w:hAnsi="Times New Roman"/>
                <w:b/>
                <w:bCs/>
                <w:color w:val="000000"/>
                <w:kern w:val="0"/>
                <w:sz w:val="22"/>
              </w:rPr>
              <w:t>2018年消纳目标</w:t>
            </w:r>
          </w:p>
        </w:tc>
        <w:tc>
          <w:tcPr>
            <w:tcW w:w="3076" w:type="dxa"/>
            <w:gridSpan w:val="2"/>
            <w:vAlign w:val="top"/>
          </w:tcPr>
          <w:p>
            <w:pPr>
              <w:widowControl/>
              <w:jc w:val="center"/>
              <w:rPr>
                <w:rFonts w:ascii="Times New Roman" w:hAnsi="Times New Roman"/>
                <w:b/>
                <w:bCs/>
                <w:color w:val="000000"/>
                <w:kern w:val="0"/>
                <w:sz w:val="22"/>
              </w:rPr>
            </w:pPr>
            <w:r>
              <w:rPr>
                <w:rFonts w:ascii="Times New Roman" w:hAnsi="Times New Roman"/>
                <w:b/>
                <w:bCs/>
                <w:color w:val="000000"/>
                <w:kern w:val="0"/>
                <w:sz w:val="22"/>
              </w:rPr>
              <w:t>2018年实际完成情况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2" w:hRule="atLeast"/>
        </w:trPr>
        <w:tc>
          <w:tcPr>
            <w:tcW w:w="2028" w:type="dxa"/>
            <w:vAlign w:val="top"/>
          </w:tcPr>
          <w:p>
            <w:pPr>
              <w:widowControl/>
              <w:jc w:val="center"/>
              <w:rPr>
                <w:rFonts w:ascii="Times New Roman" w:hAnsi="Times New Roman"/>
                <w:color w:val="000000"/>
                <w:kern w:val="0"/>
                <w:sz w:val="22"/>
              </w:rPr>
            </w:pPr>
            <w:r>
              <w:rPr>
                <w:rFonts w:ascii="Times New Roman" w:hAnsi="Times New Roman"/>
                <w:color w:val="000000"/>
                <w:kern w:val="0"/>
                <w:sz w:val="22"/>
              </w:rPr>
              <w:t xml:space="preserve"> </w:t>
            </w:r>
          </w:p>
        </w:tc>
        <w:tc>
          <w:tcPr>
            <w:tcW w:w="1536" w:type="dxa"/>
            <w:vAlign w:val="top"/>
          </w:tcPr>
          <w:p>
            <w:pPr>
              <w:widowControl/>
              <w:jc w:val="center"/>
              <w:rPr>
                <w:rFonts w:ascii="Times New Roman" w:hAnsi="Times New Roman"/>
                <w:color w:val="000000"/>
                <w:kern w:val="0"/>
                <w:sz w:val="22"/>
              </w:rPr>
            </w:pPr>
            <w:r>
              <w:rPr>
                <w:rFonts w:ascii="Times New Roman" w:hAnsi="Times New Roman"/>
                <w:color w:val="000000"/>
                <w:kern w:val="0"/>
                <w:sz w:val="22"/>
              </w:rPr>
              <w:t>利用率</w:t>
            </w:r>
          </w:p>
        </w:tc>
        <w:tc>
          <w:tcPr>
            <w:tcW w:w="1538" w:type="dxa"/>
            <w:vAlign w:val="top"/>
          </w:tcPr>
          <w:p>
            <w:pPr>
              <w:widowControl/>
              <w:jc w:val="center"/>
              <w:rPr>
                <w:rFonts w:ascii="Times New Roman" w:hAnsi="Times New Roman"/>
                <w:color w:val="000000"/>
                <w:kern w:val="0"/>
                <w:sz w:val="22"/>
              </w:rPr>
            </w:pPr>
            <w:r>
              <w:rPr>
                <w:rFonts w:ascii="Times New Roman" w:hAnsi="Times New Roman"/>
                <w:color w:val="000000"/>
                <w:kern w:val="0"/>
                <w:sz w:val="22"/>
              </w:rPr>
              <w:t>弃电率</w:t>
            </w:r>
          </w:p>
        </w:tc>
        <w:tc>
          <w:tcPr>
            <w:tcW w:w="1536" w:type="dxa"/>
            <w:vAlign w:val="top"/>
          </w:tcPr>
          <w:p>
            <w:pPr>
              <w:widowControl/>
              <w:jc w:val="center"/>
              <w:rPr>
                <w:rFonts w:ascii="Times New Roman" w:hAnsi="Times New Roman"/>
                <w:color w:val="000000"/>
                <w:kern w:val="0"/>
                <w:sz w:val="22"/>
              </w:rPr>
            </w:pPr>
            <w:r>
              <w:rPr>
                <w:rFonts w:ascii="Times New Roman" w:hAnsi="Times New Roman"/>
                <w:color w:val="000000"/>
                <w:kern w:val="0"/>
                <w:sz w:val="22"/>
              </w:rPr>
              <w:t>利用率</w:t>
            </w:r>
          </w:p>
        </w:tc>
        <w:tc>
          <w:tcPr>
            <w:tcW w:w="1540" w:type="dxa"/>
            <w:vAlign w:val="top"/>
          </w:tcPr>
          <w:p>
            <w:pPr>
              <w:widowControl/>
              <w:jc w:val="center"/>
              <w:rPr>
                <w:rFonts w:ascii="Times New Roman" w:hAnsi="Times New Roman"/>
                <w:color w:val="000000"/>
                <w:kern w:val="0"/>
                <w:sz w:val="22"/>
              </w:rPr>
            </w:pPr>
            <w:r>
              <w:rPr>
                <w:rFonts w:ascii="Times New Roman" w:hAnsi="Times New Roman"/>
                <w:color w:val="000000"/>
                <w:kern w:val="0"/>
                <w:sz w:val="22"/>
              </w:rPr>
              <w:t>弃电率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2" w:hRule="atLeast"/>
        </w:trPr>
        <w:tc>
          <w:tcPr>
            <w:tcW w:w="2028" w:type="dxa"/>
            <w:vAlign w:val="top"/>
          </w:tcPr>
          <w:p>
            <w:pPr>
              <w:widowControl/>
              <w:jc w:val="left"/>
              <w:rPr>
                <w:rFonts w:ascii="Times New Roman" w:hAnsi="Times New Roman"/>
                <w:color w:val="000000"/>
                <w:kern w:val="0"/>
                <w:szCs w:val="21"/>
              </w:rPr>
            </w:pPr>
            <w:r>
              <w:rPr>
                <w:rFonts w:ascii="Times New Roman" w:hAnsi="Times New Roman"/>
                <w:color w:val="000000"/>
                <w:kern w:val="0"/>
                <w:szCs w:val="21"/>
              </w:rPr>
              <w:t>一、风电</w:t>
            </w:r>
          </w:p>
        </w:tc>
        <w:tc>
          <w:tcPr>
            <w:tcW w:w="1536" w:type="dxa"/>
            <w:vAlign w:val="center"/>
          </w:tcPr>
          <w:p>
            <w:pPr>
              <w:widowControl/>
              <w:jc w:val="center"/>
              <w:rPr>
                <w:rFonts w:ascii="Times New Roman" w:hAnsi="Times New Roman"/>
                <w:color w:val="000000"/>
                <w:kern w:val="0"/>
                <w:szCs w:val="21"/>
              </w:rPr>
            </w:pPr>
          </w:p>
        </w:tc>
        <w:tc>
          <w:tcPr>
            <w:tcW w:w="1538" w:type="dxa"/>
            <w:vAlign w:val="center"/>
          </w:tcPr>
          <w:p>
            <w:pPr>
              <w:widowControl/>
              <w:jc w:val="center"/>
              <w:rPr>
                <w:rFonts w:ascii="Times New Roman" w:hAnsi="Times New Roman"/>
                <w:color w:val="000000"/>
                <w:kern w:val="0"/>
                <w:szCs w:val="21"/>
              </w:rPr>
            </w:pPr>
          </w:p>
        </w:tc>
        <w:tc>
          <w:tcPr>
            <w:tcW w:w="1536" w:type="dxa"/>
            <w:vAlign w:val="center"/>
          </w:tcPr>
          <w:p>
            <w:pPr>
              <w:widowControl/>
              <w:jc w:val="center"/>
              <w:rPr>
                <w:rFonts w:ascii="Times New Roman" w:hAnsi="Times New Roman"/>
                <w:color w:val="000000"/>
                <w:kern w:val="0"/>
                <w:szCs w:val="21"/>
              </w:rPr>
            </w:pPr>
          </w:p>
        </w:tc>
        <w:tc>
          <w:tcPr>
            <w:tcW w:w="1540" w:type="dxa"/>
            <w:vAlign w:val="center"/>
          </w:tcPr>
          <w:p>
            <w:pPr>
              <w:widowControl/>
              <w:jc w:val="center"/>
              <w:rPr>
                <w:rFonts w:ascii="Times New Roman" w:hAnsi="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2" w:hRule="atLeast"/>
        </w:trPr>
        <w:tc>
          <w:tcPr>
            <w:tcW w:w="2028" w:type="dxa"/>
            <w:vAlign w:val="top"/>
          </w:tcPr>
          <w:p>
            <w:pPr>
              <w:widowControl/>
              <w:jc w:val="center"/>
              <w:rPr>
                <w:rFonts w:ascii="Times New Roman" w:hAnsi="Times New Roman"/>
                <w:b/>
                <w:color w:val="000000"/>
                <w:kern w:val="0"/>
                <w:szCs w:val="21"/>
              </w:rPr>
            </w:pPr>
            <w:r>
              <w:rPr>
                <w:rFonts w:ascii="Times New Roman" w:hAnsi="Times New Roman"/>
                <w:b/>
                <w:color w:val="000000"/>
                <w:kern w:val="0"/>
                <w:szCs w:val="21"/>
              </w:rPr>
              <w:t>全  国</w:t>
            </w:r>
          </w:p>
        </w:tc>
        <w:tc>
          <w:tcPr>
            <w:tcW w:w="1536" w:type="dxa"/>
            <w:vAlign w:val="center"/>
          </w:tcPr>
          <w:p>
            <w:pPr>
              <w:widowControl/>
              <w:jc w:val="center"/>
              <w:rPr>
                <w:rFonts w:ascii="Times New Roman" w:hAnsi="Times New Roman"/>
                <w:b/>
                <w:color w:val="000000"/>
                <w:kern w:val="0"/>
                <w:szCs w:val="21"/>
              </w:rPr>
            </w:pPr>
            <w:r>
              <w:rPr>
                <w:rFonts w:ascii="Times New Roman" w:hAnsi="Times New Roman"/>
                <w:b/>
                <w:color w:val="000000"/>
                <w:kern w:val="0"/>
                <w:szCs w:val="21"/>
              </w:rPr>
              <w:t>88%</w:t>
            </w:r>
          </w:p>
        </w:tc>
        <w:tc>
          <w:tcPr>
            <w:tcW w:w="1538" w:type="dxa"/>
            <w:vAlign w:val="center"/>
          </w:tcPr>
          <w:p>
            <w:pPr>
              <w:widowControl/>
              <w:jc w:val="center"/>
              <w:rPr>
                <w:rFonts w:ascii="Times New Roman" w:hAnsi="Times New Roman"/>
                <w:b/>
                <w:color w:val="000000"/>
                <w:kern w:val="0"/>
                <w:szCs w:val="21"/>
              </w:rPr>
            </w:pPr>
            <w:r>
              <w:rPr>
                <w:rFonts w:ascii="Times New Roman" w:hAnsi="Times New Roman"/>
                <w:b/>
                <w:color w:val="000000"/>
                <w:kern w:val="0"/>
                <w:szCs w:val="21"/>
              </w:rPr>
              <w:t>12%</w:t>
            </w:r>
          </w:p>
        </w:tc>
        <w:tc>
          <w:tcPr>
            <w:tcW w:w="1536" w:type="dxa"/>
            <w:vAlign w:val="center"/>
          </w:tcPr>
          <w:p>
            <w:pPr>
              <w:widowControl/>
              <w:jc w:val="center"/>
              <w:rPr>
                <w:rFonts w:ascii="Times New Roman" w:hAnsi="Times New Roman"/>
                <w:b/>
                <w:color w:val="000000"/>
                <w:kern w:val="0"/>
                <w:szCs w:val="21"/>
              </w:rPr>
            </w:pPr>
            <w:r>
              <w:rPr>
                <w:rFonts w:ascii="Times New Roman" w:hAnsi="Times New Roman"/>
                <w:b/>
                <w:color w:val="000000"/>
                <w:kern w:val="0"/>
                <w:szCs w:val="21"/>
              </w:rPr>
              <w:t>93.0%</w:t>
            </w:r>
          </w:p>
        </w:tc>
        <w:tc>
          <w:tcPr>
            <w:tcW w:w="1540" w:type="dxa"/>
            <w:vAlign w:val="center"/>
          </w:tcPr>
          <w:p>
            <w:pPr>
              <w:widowControl/>
              <w:jc w:val="center"/>
              <w:rPr>
                <w:rFonts w:ascii="Times New Roman" w:hAnsi="Times New Roman"/>
                <w:b/>
                <w:color w:val="000000"/>
                <w:kern w:val="0"/>
                <w:szCs w:val="21"/>
              </w:rPr>
            </w:pPr>
            <w:r>
              <w:rPr>
                <w:rFonts w:ascii="Times New Roman" w:hAnsi="Times New Roman"/>
                <w:b/>
                <w:color w:val="000000"/>
                <w:kern w:val="0"/>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2" w:hRule="atLeast"/>
        </w:trPr>
        <w:tc>
          <w:tcPr>
            <w:tcW w:w="2028" w:type="dxa"/>
            <w:vAlign w:val="top"/>
          </w:tcPr>
          <w:p>
            <w:pPr>
              <w:widowControl/>
              <w:jc w:val="center"/>
              <w:rPr>
                <w:rFonts w:ascii="Times New Roman" w:hAnsi="Times New Roman"/>
                <w:color w:val="000000"/>
                <w:kern w:val="0"/>
                <w:szCs w:val="21"/>
              </w:rPr>
            </w:pPr>
            <w:r>
              <w:rPr>
                <w:rFonts w:ascii="Times New Roman" w:hAnsi="Times New Roman"/>
                <w:color w:val="000000"/>
                <w:kern w:val="0"/>
                <w:szCs w:val="21"/>
              </w:rPr>
              <w:t>新  疆</w:t>
            </w:r>
          </w:p>
        </w:tc>
        <w:tc>
          <w:tcPr>
            <w:tcW w:w="1536"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75%</w:t>
            </w:r>
          </w:p>
        </w:tc>
        <w:tc>
          <w:tcPr>
            <w:tcW w:w="1538"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25%</w:t>
            </w:r>
          </w:p>
        </w:tc>
        <w:tc>
          <w:tcPr>
            <w:tcW w:w="1536"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77.1%</w:t>
            </w:r>
          </w:p>
        </w:tc>
        <w:tc>
          <w:tcPr>
            <w:tcW w:w="1540"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2" w:hRule="atLeast"/>
        </w:trPr>
        <w:tc>
          <w:tcPr>
            <w:tcW w:w="2028" w:type="dxa"/>
            <w:vAlign w:val="top"/>
          </w:tcPr>
          <w:p>
            <w:pPr>
              <w:widowControl/>
              <w:jc w:val="center"/>
              <w:rPr>
                <w:rFonts w:ascii="Times New Roman" w:hAnsi="Times New Roman"/>
                <w:color w:val="000000"/>
                <w:kern w:val="0"/>
                <w:szCs w:val="21"/>
              </w:rPr>
            </w:pPr>
            <w:r>
              <w:rPr>
                <w:rFonts w:ascii="Times New Roman" w:hAnsi="Times New Roman"/>
                <w:color w:val="000000"/>
                <w:kern w:val="0"/>
                <w:szCs w:val="21"/>
              </w:rPr>
              <w:t>甘  肃</w:t>
            </w:r>
          </w:p>
        </w:tc>
        <w:tc>
          <w:tcPr>
            <w:tcW w:w="1536"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77%</w:t>
            </w:r>
          </w:p>
        </w:tc>
        <w:tc>
          <w:tcPr>
            <w:tcW w:w="1538"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23%</w:t>
            </w:r>
          </w:p>
        </w:tc>
        <w:tc>
          <w:tcPr>
            <w:tcW w:w="1536"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81.0%</w:t>
            </w:r>
          </w:p>
        </w:tc>
        <w:tc>
          <w:tcPr>
            <w:tcW w:w="1540"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2" w:hRule="atLeast"/>
        </w:trPr>
        <w:tc>
          <w:tcPr>
            <w:tcW w:w="2028" w:type="dxa"/>
            <w:vAlign w:val="top"/>
          </w:tcPr>
          <w:p>
            <w:pPr>
              <w:widowControl/>
              <w:jc w:val="center"/>
              <w:rPr>
                <w:rFonts w:ascii="Times New Roman" w:hAnsi="Times New Roman"/>
                <w:color w:val="000000"/>
                <w:kern w:val="0"/>
                <w:szCs w:val="21"/>
              </w:rPr>
            </w:pPr>
            <w:r>
              <w:rPr>
                <w:rFonts w:ascii="Times New Roman" w:hAnsi="Times New Roman"/>
                <w:color w:val="000000"/>
                <w:kern w:val="0"/>
                <w:szCs w:val="21"/>
              </w:rPr>
              <w:t>黑龙江</w:t>
            </w:r>
          </w:p>
        </w:tc>
        <w:tc>
          <w:tcPr>
            <w:tcW w:w="1536"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90%</w:t>
            </w:r>
          </w:p>
        </w:tc>
        <w:tc>
          <w:tcPr>
            <w:tcW w:w="1538"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10%</w:t>
            </w:r>
          </w:p>
        </w:tc>
        <w:tc>
          <w:tcPr>
            <w:tcW w:w="1536"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95.6%</w:t>
            </w:r>
          </w:p>
        </w:tc>
        <w:tc>
          <w:tcPr>
            <w:tcW w:w="1540"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2" w:hRule="atLeast"/>
        </w:trPr>
        <w:tc>
          <w:tcPr>
            <w:tcW w:w="2028" w:type="dxa"/>
            <w:vAlign w:val="top"/>
          </w:tcPr>
          <w:p>
            <w:pPr>
              <w:widowControl/>
              <w:jc w:val="center"/>
              <w:rPr>
                <w:rFonts w:ascii="Times New Roman" w:hAnsi="Times New Roman"/>
                <w:color w:val="000000"/>
                <w:kern w:val="0"/>
                <w:szCs w:val="21"/>
              </w:rPr>
            </w:pPr>
            <w:r>
              <w:rPr>
                <w:rFonts w:ascii="Times New Roman" w:hAnsi="Times New Roman"/>
                <w:color w:val="000000"/>
                <w:kern w:val="0"/>
                <w:szCs w:val="21"/>
              </w:rPr>
              <w:t>内蒙古</w:t>
            </w:r>
          </w:p>
        </w:tc>
        <w:tc>
          <w:tcPr>
            <w:tcW w:w="1536"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88%</w:t>
            </w:r>
          </w:p>
        </w:tc>
        <w:tc>
          <w:tcPr>
            <w:tcW w:w="1538"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12%</w:t>
            </w:r>
          </w:p>
        </w:tc>
        <w:tc>
          <w:tcPr>
            <w:tcW w:w="1536"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90.0%</w:t>
            </w:r>
          </w:p>
        </w:tc>
        <w:tc>
          <w:tcPr>
            <w:tcW w:w="1540"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2" w:hRule="atLeast"/>
        </w:trPr>
        <w:tc>
          <w:tcPr>
            <w:tcW w:w="2028" w:type="dxa"/>
            <w:vAlign w:val="top"/>
          </w:tcPr>
          <w:p>
            <w:pPr>
              <w:widowControl/>
              <w:jc w:val="center"/>
              <w:rPr>
                <w:rFonts w:ascii="Times New Roman" w:hAnsi="Times New Roman"/>
                <w:color w:val="000000"/>
                <w:kern w:val="0"/>
                <w:szCs w:val="21"/>
              </w:rPr>
            </w:pPr>
            <w:r>
              <w:rPr>
                <w:rFonts w:ascii="Times New Roman" w:hAnsi="Times New Roman"/>
                <w:color w:val="000000"/>
                <w:kern w:val="0"/>
                <w:szCs w:val="21"/>
              </w:rPr>
              <w:t>吉  林</w:t>
            </w:r>
          </w:p>
        </w:tc>
        <w:tc>
          <w:tcPr>
            <w:tcW w:w="1536"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85%</w:t>
            </w:r>
          </w:p>
        </w:tc>
        <w:tc>
          <w:tcPr>
            <w:tcW w:w="1538"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15%</w:t>
            </w:r>
          </w:p>
        </w:tc>
        <w:tc>
          <w:tcPr>
            <w:tcW w:w="1536"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93.1%</w:t>
            </w:r>
          </w:p>
        </w:tc>
        <w:tc>
          <w:tcPr>
            <w:tcW w:w="1540"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2" w:hRule="atLeast"/>
        </w:trPr>
        <w:tc>
          <w:tcPr>
            <w:tcW w:w="2028" w:type="dxa"/>
            <w:vAlign w:val="top"/>
          </w:tcPr>
          <w:p>
            <w:pPr>
              <w:widowControl/>
              <w:jc w:val="center"/>
              <w:rPr>
                <w:rFonts w:ascii="Times New Roman" w:hAnsi="Times New Roman"/>
                <w:color w:val="000000"/>
                <w:kern w:val="0"/>
                <w:szCs w:val="21"/>
              </w:rPr>
            </w:pPr>
            <w:r>
              <w:rPr>
                <w:rFonts w:ascii="Times New Roman" w:hAnsi="Times New Roman"/>
                <w:color w:val="000000"/>
                <w:kern w:val="0"/>
                <w:szCs w:val="21"/>
              </w:rPr>
              <w:t>河  北</w:t>
            </w:r>
          </w:p>
        </w:tc>
        <w:tc>
          <w:tcPr>
            <w:tcW w:w="1536"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94%</w:t>
            </w:r>
          </w:p>
        </w:tc>
        <w:tc>
          <w:tcPr>
            <w:tcW w:w="1538"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w:t>
            </w:r>
          </w:p>
        </w:tc>
        <w:tc>
          <w:tcPr>
            <w:tcW w:w="1536"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94.8%</w:t>
            </w:r>
          </w:p>
        </w:tc>
        <w:tc>
          <w:tcPr>
            <w:tcW w:w="1540"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2" w:hRule="atLeast"/>
        </w:trPr>
        <w:tc>
          <w:tcPr>
            <w:tcW w:w="2028" w:type="dxa"/>
            <w:vAlign w:val="top"/>
          </w:tcPr>
          <w:p>
            <w:pPr>
              <w:widowControl/>
              <w:jc w:val="left"/>
              <w:rPr>
                <w:rFonts w:ascii="Times New Roman" w:hAnsi="Times New Roman"/>
                <w:color w:val="000000"/>
                <w:kern w:val="0"/>
                <w:szCs w:val="21"/>
              </w:rPr>
            </w:pPr>
            <w:r>
              <w:rPr>
                <w:rFonts w:ascii="Times New Roman" w:hAnsi="Times New Roman"/>
                <w:color w:val="000000"/>
                <w:kern w:val="0"/>
                <w:szCs w:val="21"/>
              </w:rPr>
              <w:t>二、光伏</w:t>
            </w:r>
          </w:p>
        </w:tc>
        <w:tc>
          <w:tcPr>
            <w:tcW w:w="1536" w:type="dxa"/>
            <w:vAlign w:val="center"/>
          </w:tcPr>
          <w:p>
            <w:pPr>
              <w:widowControl/>
              <w:jc w:val="center"/>
              <w:rPr>
                <w:rFonts w:ascii="Times New Roman" w:hAnsi="Times New Roman"/>
                <w:color w:val="000000"/>
                <w:kern w:val="0"/>
                <w:szCs w:val="21"/>
              </w:rPr>
            </w:pPr>
          </w:p>
        </w:tc>
        <w:tc>
          <w:tcPr>
            <w:tcW w:w="1538" w:type="dxa"/>
            <w:vAlign w:val="center"/>
          </w:tcPr>
          <w:p>
            <w:pPr>
              <w:widowControl/>
              <w:jc w:val="center"/>
              <w:rPr>
                <w:rFonts w:ascii="Times New Roman" w:hAnsi="Times New Roman"/>
                <w:color w:val="000000"/>
                <w:kern w:val="0"/>
                <w:szCs w:val="21"/>
              </w:rPr>
            </w:pPr>
          </w:p>
        </w:tc>
        <w:tc>
          <w:tcPr>
            <w:tcW w:w="1536" w:type="dxa"/>
            <w:vAlign w:val="center"/>
          </w:tcPr>
          <w:p>
            <w:pPr>
              <w:widowControl/>
              <w:jc w:val="center"/>
              <w:rPr>
                <w:rFonts w:ascii="Times New Roman" w:hAnsi="Times New Roman"/>
                <w:color w:val="000000"/>
                <w:kern w:val="0"/>
                <w:szCs w:val="21"/>
              </w:rPr>
            </w:pPr>
          </w:p>
        </w:tc>
        <w:tc>
          <w:tcPr>
            <w:tcW w:w="1540" w:type="dxa"/>
            <w:vAlign w:val="center"/>
          </w:tcPr>
          <w:p>
            <w:pPr>
              <w:widowControl/>
              <w:jc w:val="center"/>
              <w:rPr>
                <w:rFonts w:ascii="Times New Roman" w:hAnsi="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2" w:hRule="atLeast"/>
        </w:trPr>
        <w:tc>
          <w:tcPr>
            <w:tcW w:w="2028" w:type="dxa"/>
            <w:vAlign w:val="top"/>
          </w:tcPr>
          <w:p>
            <w:pPr>
              <w:widowControl/>
              <w:jc w:val="center"/>
              <w:rPr>
                <w:rFonts w:ascii="Times New Roman" w:hAnsi="Times New Roman"/>
                <w:b/>
                <w:color w:val="000000"/>
                <w:kern w:val="0"/>
                <w:szCs w:val="21"/>
              </w:rPr>
            </w:pPr>
            <w:r>
              <w:rPr>
                <w:rFonts w:ascii="Times New Roman" w:hAnsi="Times New Roman"/>
                <w:b/>
                <w:color w:val="000000"/>
                <w:kern w:val="0"/>
                <w:szCs w:val="21"/>
              </w:rPr>
              <w:t>全</w:t>
            </w:r>
            <w:r>
              <w:rPr>
                <w:rFonts w:hint="eastAsia" w:ascii="Times New Roman" w:hAnsi="Times New Roman"/>
                <w:b/>
                <w:color w:val="000000"/>
                <w:kern w:val="0"/>
                <w:szCs w:val="21"/>
              </w:rPr>
              <w:t xml:space="preserve">  </w:t>
            </w:r>
            <w:r>
              <w:rPr>
                <w:rFonts w:ascii="Times New Roman" w:hAnsi="Times New Roman"/>
                <w:b/>
                <w:color w:val="000000"/>
                <w:kern w:val="0"/>
                <w:szCs w:val="21"/>
              </w:rPr>
              <w:t>国</w:t>
            </w:r>
          </w:p>
        </w:tc>
        <w:tc>
          <w:tcPr>
            <w:tcW w:w="1536" w:type="dxa"/>
            <w:vAlign w:val="center"/>
          </w:tcPr>
          <w:p>
            <w:pPr>
              <w:widowControl/>
              <w:jc w:val="center"/>
              <w:rPr>
                <w:rFonts w:ascii="Times New Roman" w:hAnsi="Times New Roman"/>
                <w:b/>
                <w:color w:val="000000"/>
                <w:kern w:val="0"/>
                <w:szCs w:val="21"/>
              </w:rPr>
            </w:pPr>
            <w:r>
              <w:rPr>
                <w:rFonts w:ascii="Times New Roman" w:hAnsi="Times New Roman"/>
                <w:b/>
                <w:color w:val="000000"/>
                <w:kern w:val="0"/>
                <w:szCs w:val="21"/>
              </w:rPr>
              <w:t>95%</w:t>
            </w:r>
          </w:p>
        </w:tc>
        <w:tc>
          <w:tcPr>
            <w:tcW w:w="1538" w:type="dxa"/>
            <w:vAlign w:val="center"/>
          </w:tcPr>
          <w:p>
            <w:pPr>
              <w:widowControl/>
              <w:jc w:val="center"/>
              <w:rPr>
                <w:rFonts w:ascii="Times New Roman" w:hAnsi="Times New Roman"/>
                <w:b/>
                <w:color w:val="000000"/>
                <w:kern w:val="0"/>
                <w:szCs w:val="21"/>
              </w:rPr>
            </w:pPr>
            <w:r>
              <w:rPr>
                <w:rFonts w:ascii="Times New Roman" w:hAnsi="Times New Roman"/>
                <w:b/>
                <w:color w:val="000000"/>
                <w:kern w:val="0"/>
                <w:szCs w:val="21"/>
              </w:rPr>
              <w:t>5%</w:t>
            </w:r>
          </w:p>
        </w:tc>
        <w:tc>
          <w:tcPr>
            <w:tcW w:w="1536" w:type="dxa"/>
            <w:vAlign w:val="center"/>
          </w:tcPr>
          <w:p>
            <w:pPr>
              <w:widowControl/>
              <w:jc w:val="center"/>
              <w:rPr>
                <w:rFonts w:ascii="Times New Roman" w:hAnsi="Times New Roman"/>
                <w:b/>
                <w:color w:val="000000"/>
                <w:kern w:val="0"/>
                <w:szCs w:val="21"/>
              </w:rPr>
            </w:pPr>
            <w:r>
              <w:rPr>
                <w:rFonts w:ascii="Times New Roman" w:hAnsi="Times New Roman"/>
                <w:b/>
                <w:color w:val="000000"/>
                <w:kern w:val="0"/>
                <w:szCs w:val="21"/>
              </w:rPr>
              <w:t>97.0%</w:t>
            </w:r>
          </w:p>
        </w:tc>
        <w:tc>
          <w:tcPr>
            <w:tcW w:w="1540" w:type="dxa"/>
            <w:vAlign w:val="center"/>
          </w:tcPr>
          <w:p>
            <w:pPr>
              <w:widowControl/>
              <w:jc w:val="center"/>
              <w:rPr>
                <w:rFonts w:ascii="Times New Roman" w:hAnsi="Times New Roman"/>
                <w:b/>
                <w:color w:val="000000"/>
                <w:kern w:val="0"/>
                <w:szCs w:val="21"/>
              </w:rPr>
            </w:pPr>
            <w:r>
              <w:rPr>
                <w:rFonts w:ascii="Times New Roman" w:hAnsi="Times New Roman"/>
                <w:b/>
                <w:color w:val="000000"/>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2" w:hRule="atLeast"/>
        </w:trPr>
        <w:tc>
          <w:tcPr>
            <w:tcW w:w="2028" w:type="dxa"/>
            <w:vAlign w:val="top"/>
          </w:tcPr>
          <w:p>
            <w:pPr>
              <w:widowControl/>
              <w:jc w:val="center"/>
              <w:rPr>
                <w:rFonts w:ascii="Times New Roman" w:hAnsi="Times New Roman"/>
                <w:color w:val="000000"/>
                <w:kern w:val="0"/>
                <w:szCs w:val="21"/>
              </w:rPr>
            </w:pPr>
            <w:r>
              <w:rPr>
                <w:rFonts w:ascii="Times New Roman" w:hAnsi="Times New Roman"/>
                <w:color w:val="000000"/>
                <w:kern w:val="0"/>
                <w:szCs w:val="21"/>
              </w:rPr>
              <w:t>新  疆</w:t>
            </w:r>
          </w:p>
        </w:tc>
        <w:tc>
          <w:tcPr>
            <w:tcW w:w="1536"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85%</w:t>
            </w:r>
          </w:p>
        </w:tc>
        <w:tc>
          <w:tcPr>
            <w:tcW w:w="1538"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15%</w:t>
            </w:r>
          </w:p>
        </w:tc>
        <w:tc>
          <w:tcPr>
            <w:tcW w:w="1536"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84.5%</w:t>
            </w:r>
          </w:p>
        </w:tc>
        <w:tc>
          <w:tcPr>
            <w:tcW w:w="1540"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2" w:hRule="atLeast"/>
        </w:trPr>
        <w:tc>
          <w:tcPr>
            <w:tcW w:w="2028" w:type="dxa"/>
            <w:vAlign w:val="top"/>
          </w:tcPr>
          <w:p>
            <w:pPr>
              <w:widowControl/>
              <w:jc w:val="center"/>
              <w:rPr>
                <w:rFonts w:ascii="Times New Roman" w:hAnsi="Times New Roman"/>
                <w:color w:val="000000"/>
                <w:kern w:val="0"/>
                <w:szCs w:val="21"/>
              </w:rPr>
            </w:pPr>
            <w:r>
              <w:rPr>
                <w:rFonts w:ascii="Times New Roman" w:hAnsi="Times New Roman"/>
                <w:color w:val="000000"/>
                <w:kern w:val="0"/>
                <w:szCs w:val="21"/>
              </w:rPr>
              <w:t>甘  肃</w:t>
            </w:r>
          </w:p>
        </w:tc>
        <w:tc>
          <w:tcPr>
            <w:tcW w:w="1536"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90%</w:t>
            </w:r>
          </w:p>
        </w:tc>
        <w:tc>
          <w:tcPr>
            <w:tcW w:w="1538"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10%</w:t>
            </w:r>
          </w:p>
        </w:tc>
        <w:tc>
          <w:tcPr>
            <w:tcW w:w="1536"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90.2%</w:t>
            </w:r>
          </w:p>
        </w:tc>
        <w:tc>
          <w:tcPr>
            <w:tcW w:w="1540"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2" w:hRule="atLeast"/>
        </w:trPr>
        <w:tc>
          <w:tcPr>
            <w:tcW w:w="2028" w:type="dxa"/>
            <w:vAlign w:val="center"/>
          </w:tcPr>
          <w:p>
            <w:pPr>
              <w:widowControl/>
              <w:rPr>
                <w:rFonts w:ascii="Times New Roman" w:hAnsi="Times New Roman"/>
                <w:color w:val="000000"/>
                <w:kern w:val="0"/>
                <w:szCs w:val="21"/>
              </w:rPr>
            </w:pPr>
            <w:r>
              <w:rPr>
                <w:rFonts w:ascii="Times New Roman" w:hAnsi="Times New Roman"/>
                <w:color w:val="000000"/>
                <w:kern w:val="0"/>
                <w:szCs w:val="21"/>
              </w:rPr>
              <w:t>三、水电</w:t>
            </w:r>
          </w:p>
        </w:tc>
        <w:tc>
          <w:tcPr>
            <w:tcW w:w="1536" w:type="dxa"/>
            <w:vAlign w:val="center"/>
          </w:tcPr>
          <w:p>
            <w:pPr>
              <w:widowControl/>
              <w:jc w:val="center"/>
              <w:rPr>
                <w:rFonts w:ascii="Times New Roman" w:hAnsi="Times New Roman"/>
                <w:color w:val="000000"/>
                <w:kern w:val="0"/>
                <w:szCs w:val="21"/>
              </w:rPr>
            </w:pPr>
          </w:p>
        </w:tc>
        <w:tc>
          <w:tcPr>
            <w:tcW w:w="1538" w:type="dxa"/>
            <w:vAlign w:val="center"/>
          </w:tcPr>
          <w:p>
            <w:pPr>
              <w:widowControl/>
              <w:jc w:val="center"/>
              <w:rPr>
                <w:rFonts w:ascii="Times New Roman" w:hAnsi="Times New Roman"/>
                <w:color w:val="000000"/>
                <w:kern w:val="0"/>
                <w:szCs w:val="21"/>
              </w:rPr>
            </w:pPr>
          </w:p>
        </w:tc>
        <w:tc>
          <w:tcPr>
            <w:tcW w:w="1536" w:type="dxa"/>
            <w:vAlign w:val="center"/>
          </w:tcPr>
          <w:p>
            <w:pPr>
              <w:widowControl/>
              <w:jc w:val="center"/>
              <w:rPr>
                <w:rFonts w:ascii="Times New Roman" w:hAnsi="Times New Roman"/>
                <w:color w:val="000000"/>
                <w:kern w:val="0"/>
                <w:szCs w:val="21"/>
              </w:rPr>
            </w:pPr>
          </w:p>
        </w:tc>
        <w:tc>
          <w:tcPr>
            <w:tcW w:w="1540" w:type="dxa"/>
            <w:vAlign w:val="center"/>
          </w:tcPr>
          <w:p>
            <w:pPr>
              <w:widowControl/>
              <w:jc w:val="center"/>
              <w:rPr>
                <w:rFonts w:ascii="Times New Roman" w:hAnsi="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2" w:hRule="atLeast"/>
        </w:trPr>
        <w:tc>
          <w:tcPr>
            <w:tcW w:w="2028" w:type="dxa"/>
            <w:vAlign w:val="center"/>
          </w:tcPr>
          <w:p>
            <w:pPr>
              <w:widowControl/>
              <w:jc w:val="center"/>
              <w:rPr>
                <w:rFonts w:ascii="Times New Roman" w:hAnsi="Times New Roman"/>
                <w:b/>
                <w:color w:val="000000"/>
                <w:kern w:val="0"/>
                <w:szCs w:val="21"/>
              </w:rPr>
            </w:pPr>
            <w:r>
              <w:rPr>
                <w:rFonts w:ascii="Times New Roman" w:hAnsi="Times New Roman"/>
                <w:b/>
                <w:color w:val="000000"/>
                <w:kern w:val="0"/>
                <w:szCs w:val="21"/>
              </w:rPr>
              <w:t>全</w:t>
            </w:r>
            <w:r>
              <w:rPr>
                <w:rFonts w:hint="eastAsia" w:ascii="Times New Roman" w:hAnsi="Times New Roman"/>
                <w:b/>
                <w:color w:val="000000"/>
                <w:kern w:val="0"/>
                <w:szCs w:val="21"/>
              </w:rPr>
              <w:t xml:space="preserve">  </w:t>
            </w:r>
            <w:r>
              <w:rPr>
                <w:rFonts w:ascii="Times New Roman" w:hAnsi="Times New Roman"/>
                <w:b/>
                <w:color w:val="000000"/>
                <w:kern w:val="0"/>
                <w:szCs w:val="21"/>
              </w:rPr>
              <w:t>国</w:t>
            </w:r>
          </w:p>
        </w:tc>
        <w:tc>
          <w:tcPr>
            <w:tcW w:w="1536" w:type="dxa"/>
            <w:vAlign w:val="center"/>
          </w:tcPr>
          <w:p>
            <w:pPr>
              <w:widowControl/>
              <w:jc w:val="center"/>
              <w:rPr>
                <w:rFonts w:ascii="Times New Roman" w:hAnsi="Times New Roman"/>
                <w:b/>
                <w:color w:val="000000"/>
                <w:kern w:val="0"/>
                <w:szCs w:val="21"/>
              </w:rPr>
            </w:pPr>
            <w:r>
              <w:rPr>
                <w:rFonts w:ascii="Times New Roman" w:hAnsi="Times New Roman"/>
                <w:b/>
                <w:color w:val="000000"/>
                <w:kern w:val="0"/>
                <w:szCs w:val="21"/>
              </w:rPr>
              <w:t>95%</w:t>
            </w:r>
          </w:p>
        </w:tc>
        <w:tc>
          <w:tcPr>
            <w:tcW w:w="1538" w:type="dxa"/>
            <w:vAlign w:val="center"/>
          </w:tcPr>
          <w:p>
            <w:pPr>
              <w:widowControl/>
              <w:jc w:val="center"/>
              <w:rPr>
                <w:rFonts w:ascii="Times New Roman" w:hAnsi="Times New Roman"/>
                <w:b/>
                <w:color w:val="000000"/>
                <w:kern w:val="0"/>
                <w:szCs w:val="21"/>
              </w:rPr>
            </w:pPr>
          </w:p>
        </w:tc>
        <w:tc>
          <w:tcPr>
            <w:tcW w:w="1536" w:type="dxa"/>
            <w:vAlign w:val="center"/>
          </w:tcPr>
          <w:p>
            <w:pPr>
              <w:widowControl/>
              <w:jc w:val="center"/>
              <w:rPr>
                <w:rFonts w:ascii="Times New Roman" w:hAnsi="Times New Roman"/>
                <w:b/>
                <w:color w:val="000000"/>
                <w:kern w:val="0"/>
                <w:szCs w:val="21"/>
              </w:rPr>
            </w:pPr>
            <w:r>
              <w:rPr>
                <w:rFonts w:ascii="Times New Roman" w:hAnsi="Times New Roman"/>
                <w:b/>
                <w:color w:val="000000"/>
                <w:kern w:val="0"/>
                <w:szCs w:val="21"/>
              </w:rPr>
              <w:t>95%</w:t>
            </w:r>
          </w:p>
        </w:tc>
        <w:tc>
          <w:tcPr>
            <w:tcW w:w="1540" w:type="dxa"/>
            <w:vAlign w:val="center"/>
          </w:tcPr>
          <w:p>
            <w:pPr>
              <w:widowControl/>
              <w:jc w:val="center"/>
              <w:rPr>
                <w:rFonts w:ascii="Times New Roman" w:hAnsi="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2" w:hRule="atLeast"/>
        </w:trPr>
        <w:tc>
          <w:tcPr>
            <w:tcW w:w="2028"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四</w:t>
            </w:r>
            <w:r>
              <w:rPr>
                <w:rFonts w:hint="eastAsia" w:ascii="Times New Roman" w:hAnsi="Times New Roman"/>
                <w:color w:val="000000"/>
                <w:kern w:val="0"/>
                <w:szCs w:val="21"/>
              </w:rPr>
              <w:t xml:space="preserve">  </w:t>
            </w:r>
            <w:r>
              <w:rPr>
                <w:rFonts w:ascii="Times New Roman" w:hAnsi="Times New Roman"/>
                <w:color w:val="000000"/>
                <w:kern w:val="0"/>
                <w:szCs w:val="21"/>
              </w:rPr>
              <w:t>川</w:t>
            </w:r>
          </w:p>
        </w:tc>
        <w:tc>
          <w:tcPr>
            <w:tcW w:w="1536"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90%</w:t>
            </w:r>
          </w:p>
        </w:tc>
        <w:tc>
          <w:tcPr>
            <w:tcW w:w="1538" w:type="dxa"/>
            <w:vAlign w:val="center"/>
          </w:tcPr>
          <w:p>
            <w:pPr>
              <w:widowControl/>
              <w:jc w:val="center"/>
              <w:rPr>
                <w:rFonts w:ascii="Times New Roman" w:hAnsi="Times New Roman"/>
                <w:color w:val="000000"/>
                <w:kern w:val="0"/>
                <w:szCs w:val="21"/>
              </w:rPr>
            </w:pPr>
          </w:p>
        </w:tc>
        <w:tc>
          <w:tcPr>
            <w:tcW w:w="1536"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87%</w:t>
            </w:r>
          </w:p>
        </w:tc>
        <w:tc>
          <w:tcPr>
            <w:tcW w:w="1540" w:type="dxa"/>
            <w:vAlign w:val="center"/>
          </w:tcPr>
          <w:p>
            <w:pPr>
              <w:widowControl/>
              <w:jc w:val="center"/>
              <w:rPr>
                <w:rFonts w:ascii="Times New Roman" w:hAnsi="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2" w:hRule="atLeast"/>
        </w:trPr>
        <w:tc>
          <w:tcPr>
            <w:tcW w:w="2028"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云</w:t>
            </w:r>
            <w:r>
              <w:rPr>
                <w:rFonts w:hint="eastAsia" w:ascii="Times New Roman" w:hAnsi="Times New Roman"/>
                <w:color w:val="000000"/>
                <w:kern w:val="0"/>
                <w:szCs w:val="21"/>
              </w:rPr>
              <w:t xml:space="preserve">  </w:t>
            </w:r>
            <w:r>
              <w:rPr>
                <w:rFonts w:ascii="Times New Roman" w:hAnsi="Times New Roman"/>
                <w:color w:val="000000"/>
                <w:kern w:val="0"/>
                <w:szCs w:val="21"/>
              </w:rPr>
              <w:t>南</w:t>
            </w:r>
          </w:p>
        </w:tc>
        <w:tc>
          <w:tcPr>
            <w:tcW w:w="1536"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90%</w:t>
            </w:r>
          </w:p>
        </w:tc>
        <w:tc>
          <w:tcPr>
            <w:tcW w:w="1538" w:type="dxa"/>
            <w:vAlign w:val="center"/>
          </w:tcPr>
          <w:p>
            <w:pPr>
              <w:widowControl/>
              <w:jc w:val="center"/>
              <w:rPr>
                <w:rFonts w:ascii="Times New Roman" w:hAnsi="Times New Roman"/>
                <w:color w:val="000000"/>
                <w:kern w:val="0"/>
                <w:szCs w:val="21"/>
              </w:rPr>
            </w:pPr>
          </w:p>
        </w:tc>
        <w:tc>
          <w:tcPr>
            <w:tcW w:w="1536"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94%</w:t>
            </w:r>
          </w:p>
        </w:tc>
        <w:tc>
          <w:tcPr>
            <w:tcW w:w="1540" w:type="dxa"/>
            <w:vAlign w:val="center"/>
          </w:tcPr>
          <w:p>
            <w:pPr>
              <w:widowControl/>
              <w:jc w:val="center"/>
              <w:rPr>
                <w:rFonts w:ascii="Times New Roman" w:hAnsi="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2" w:hRule="atLeast"/>
        </w:trPr>
        <w:tc>
          <w:tcPr>
            <w:tcW w:w="2028"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广</w:t>
            </w:r>
            <w:r>
              <w:rPr>
                <w:rFonts w:hint="eastAsia" w:ascii="Times New Roman" w:hAnsi="Times New Roman"/>
                <w:color w:val="000000"/>
                <w:kern w:val="0"/>
                <w:szCs w:val="21"/>
              </w:rPr>
              <w:t xml:space="preserve">  </w:t>
            </w:r>
            <w:r>
              <w:rPr>
                <w:rFonts w:ascii="Times New Roman" w:hAnsi="Times New Roman"/>
                <w:color w:val="000000"/>
                <w:kern w:val="0"/>
                <w:szCs w:val="21"/>
              </w:rPr>
              <w:t>西</w:t>
            </w:r>
          </w:p>
        </w:tc>
        <w:tc>
          <w:tcPr>
            <w:tcW w:w="1536"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95%</w:t>
            </w:r>
          </w:p>
        </w:tc>
        <w:tc>
          <w:tcPr>
            <w:tcW w:w="1538" w:type="dxa"/>
            <w:vAlign w:val="center"/>
          </w:tcPr>
          <w:p>
            <w:pPr>
              <w:widowControl/>
              <w:jc w:val="center"/>
              <w:rPr>
                <w:rFonts w:ascii="Times New Roman" w:hAnsi="Times New Roman"/>
                <w:color w:val="000000"/>
                <w:kern w:val="0"/>
                <w:szCs w:val="21"/>
              </w:rPr>
            </w:pPr>
          </w:p>
        </w:tc>
        <w:tc>
          <w:tcPr>
            <w:tcW w:w="1536" w:type="dxa"/>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100%</w:t>
            </w:r>
          </w:p>
        </w:tc>
        <w:tc>
          <w:tcPr>
            <w:tcW w:w="1540" w:type="dxa"/>
            <w:vAlign w:val="center"/>
          </w:tcPr>
          <w:p>
            <w:pPr>
              <w:widowControl/>
              <w:jc w:val="center"/>
              <w:rPr>
                <w:rFonts w:ascii="Times New Roman" w:hAnsi="Times New Roman"/>
                <w:color w:val="000000"/>
                <w:kern w:val="0"/>
                <w:szCs w:val="21"/>
              </w:rPr>
            </w:pPr>
          </w:p>
        </w:tc>
      </w:tr>
    </w:tbl>
    <w:p>
      <w:pPr>
        <w:pStyle w:val="2"/>
        <w:ind w:firstLine="600"/>
      </w:pPr>
      <w:r>
        <w:t>六、特高压线路输送可再生能源情况</w:t>
      </w:r>
    </w:p>
    <w:p>
      <w:pPr>
        <w:spacing w:line="600"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2018年，20条特高压线路年输送电量3983亿千瓦时，其中输送可再生能源电量2084亿千瓦时，占全部年输送电量的52%。国家电网公司经营区覆盖范围内的17条特高压线路输送电量3295亿千瓦时，其中可再生能源电量1396亿千瓦时，占输送电量的</w:t>
      </w:r>
      <w:r>
        <w:rPr>
          <w:rFonts w:hint="eastAsia" w:ascii="Times New Roman" w:hAnsi="Times New Roman" w:eastAsia="方正仿宋_GBK"/>
          <w:sz w:val="30"/>
          <w:szCs w:val="30"/>
        </w:rPr>
        <w:t>42</w:t>
      </w:r>
      <w:r>
        <w:rPr>
          <w:rFonts w:ascii="Times New Roman" w:hAnsi="Times New Roman" w:eastAsia="方正仿宋_GBK"/>
          <w:sz w:val="30"/>
          <w:szCs w:val="30"/>
        </w:rPr>
        <w:t>%；南方电网公司经营区覆盖范围内的3条特高压线路输送电量688亿千瓦时，全部为可再生能源电量。</w:t>
      </w:r>
    </w:p>
    <w:p>
      <w:pPr>
        <w:pStyle w:val="16"/>
        <w:rPr>
          <w:rFonts w:eastAsia="黑体"/>
        </w:rPr>
      </w:pPr>
      <w:r>
        <w:rPr>
          <w:rFonts w:eastAsia="黑体"/>
        </w:rPr>
        <w:t>表6  2018年特高压线路输送电量情况</w:t>
      </w:r>
    </w:p>
    <w:tbl>
      <w:tblPr>
        <w:tblW w:w="842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803"/>
        <w:gridCol w:w="2279"/>
        <w:gridCol w:w="1724"/>
        <w:gridCol w:w="1724"/>
        <w:gridCol w:w="1095"/>
        <w:gridCol w:w="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75" w:hRule="atLeast"/>
        </w:trPr>
        <w:tc>
          <w:tcPr>
            <w:tcW w:w="8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b/>
                <w:kern w:val="0"/>
                <w:sz w:val="22"/>
                <w:szCs w:val="24"/>
              </w:rPr>
            </w:pPr>
            <w:r>
              <w:rPr>
                <w:rFonts w:ascii="Times New Roman" w:hAnsi="Times New Roman"/>
                <w:b/>
                <w:kern w:val="0"/>
                <w:sz w:val="22"/>
                <w:szCs w:val="24"/>
              </w:rPr>
              <w:t>序号</w:t>
            </w:r>
          </w:p>
        </w:tc>
        <w:tc>
          <w:tcPr>
            <w:tcW w:w="227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kern w:val="0"/>
                <w:sz w:val="22"/>
                <w:szCs w:val="24"/>
              </w:rPr>
            </w:pPr>
            <w:r>
              <w:rPr>
                <w:rFonts w:ascii="Times New Roman" w:hAnsi="Times New Roman"/>
                <w:b/>
                <w:bCs/>
                <w:kern w:val="0"/>
                <w:sz w:val="22"/>
                <w:szCs w:val="24"/>
              </w:rPr>
              <w:t>线路名称</w:t>
            </w:r>
          </w:p>
        </w:tc>
        <w:tc>
          <w:tcPr>
            <w:tcW w:w="172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kern w:val="0"/>
                <w:sz w:val="22"/>
                <w:szCs w:val="24"/>
              </w:rPr>
            </w:pPr>
            <w:r>
              <w:rPr>
                <w:rFonts w:ascii="Times New Roman" w:hAnsi="Times New Roman"/>
                <w:b/>
                <w:kern w:val="0"/>
                <w:sz w:val="22"/>
                <w:szCs w:val="24"/>
              </w:rPr>
              <w:t>年输送量（亿千瓦时）</w:t>
            </w:r>
          </w:p>
        </w:tc>
        <w:tc>
          <w:tcPr>
            <w:tcW w:w="172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kern w:val="0"/>
                <w:sz w:val="22"/>
                <w:szCs w:val="24"/>
              </w:rPr>
            </w:pPr>
            <w:r>
              <w:rPr>
                <w:rFonts w:ascii="Times New Roman" w:hAnsi="Times New Roman"/>
                <w:b/>
                <w:kern w:val="0"/>
                <w:sz w:val="22"/>
                <w:szCs w:val="24"/>
              </w:rPr>
              <w:t>可再生能源（亿千瓦时）</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kern w:val="0"/>
                <w:sz w:val="22"/>
                <w:szCs w:val="24"/>
              </w:rPr>
            </w:pPr>
            <w:r>
              <w:rPr>
                <w:rFonts w:ascii="Times New Roman" w:hAnsi="Times New Roman"/>
                <w:b/>
                <w:kern w:val="0"/>
                <w:sz w:val="22"/>
                <w:szCs w:val="24"/>
              </w:rPr>
              <w:t>可再生能源占比</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kern w:val="0"/>
                <w:sz w:val="22"/>
                <w:szCs w:val="24"/>
              </w:rPr>
            </w:pPr>
            <w:r>
              <w:rPr>
                <w:rFonts w:hint="eastAsia" w:ascii="Times New Roman" w:hAnsi="Times New Roman"/>
                <w:b/>
                <w:kern w:val="0"/>
                <w:sz w:val="22"/>
                <w:szCs w:val="24"/>
              </w:rPr>
              <w:t>占比同比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9" w:hRule="atLeast"/>
        </w:trPr>
        <w:tc>
          <w:tcPr>
            <w:tcW w:w="80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w:t>
            </w:r>
          </w:p>
        </w:tc>
        <w:tc>
          <w:tcPr>
            <w:tcW w:w="2279"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长南荆特高压</w:t>
            </w:r>
          </w:p>
        </w:tc>
        <w:tc>
          <w:tcPr>
            <w:tcW w:w="1724"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szCs w:val="21"/>
              </w:rPr>
              <w:t>63.6</w:t>
            </w:r>
          </w:p>
        </w:tc>
        <w:tc>
          <w:tcPr>
            <w:tcW w:w="1724"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29.0</w:t>
            </w:r>
          </w:p>
        </w:tc>
        <w:tc>
          <w:tcPr>
            <w:tcW w:w="1095"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hint="eastAsia" w:ascii="Times New Roman" w:hAnsi="Times New Roman"/>
                <w:color w:val="000000"/>
                <w:szCs w:val="21"/>
              </w:rPr>
              <w:t>45.6%</w:t>
            </w:r>
          </w:p>
        </w:tc>
        <w:tc>
          <w:tcPr>
            <w:tcW w:w="795" w:type="dxa"/>
            <w:tcBorders>
              <w:top w:val="nil"/>
              <w:left w:val="nil"/>
              <w:bottom w:val="single" w:color="auto" w:sz="4" w:space="0"/>
              <w:right w:val="single" w:color="auto" w:sz="4" w:space="0"/>
            </w:tcBorders>
            <w:vAlign w:val="center"/>
          </w:tcPr>
          <w:p>
            <w:pPr>
              <w:widowControl/>
              <w:jc w:val="center"/>
              <w:rPr>
                <w:rFonts w:ascii="Times New Roman" w:hAnsi="Times New Roman"/>
                <w:szCs w:val="21"/>
              </w:rPr>
            </w:pPr>
            <w:r>
              <w:rPr>
                <w:rFonts w:hint="eastAsia" w:ascii="Times New Roman" w:hAnsi="Times New Roman"/>
                <w:szCs w:val="21"/>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9" w:hRule="atLeast"/>
        </w:trPr>
        <w:tc>
          <w:tcPr>
            <w:tcW w:w="80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w:t>
            </w:r>
          </w:p>
        </w:tc>
        <w:tc>
          <w:tcPr>
            <w:tcW w:w="2279"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榆横至潍坊特高压</w:t>
            </w:r>
          </w:p>
        </w:tc>
        <w:tc>
          <w:tcPr>
            <w:tcW w:w="1724"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38.0</w:t>
            </w:r>
          </w:p>
        </w:tc>
        <w:tc>
          <w:tcPr>
            <w:tcW w:w="1724"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0.0</w:t>
            </w:r>
          </w:p>
        </w:tc>
        <w:tc>
          <w:tcPr>
            <w:tcW w:w="1095"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hint="eastAsia" w:ascii="Times New Roman" w:hAnsi="Times New Roman"/>
                <w:color w:val="000000"/>
                <w:szCs w:val="21"/>
              </w:rPr>
              <w:t>0.0%</w:t>
            </w:r>
          </w:p>
        </w:tc>
        <w:tc>
          <w:tcPr>
            <w:tcW w:w="795"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hint="eastAsia" w:ascii="Times New Roman" w:hAnsi="Times New Roman"/>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9" w:hRule="atLeast"/>
        </w:trPr>
        <w:tc>
          <w:tcPr>
            <w:tcW w:w="80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3</w:t>
            </w:r>
          </w:p>
        </w:tc>
        <w:tc>
          <w:tcPr>
            <w:tcW w:w="2279"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锡盟送山东</w:t>
            </w:r>
          </w:p>
        </w:tc>
        <w:tc>
          <w:tcPr>
            <w:tcW w:w="1724"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29.2</w:t>
            </w:r>
          </w:p>
        </w:tc>
        <w:tc>
          <w:tcPr>
            <w:tcW w:w="1724"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0.0</w:t>
            </w:r>
          </w:p>
        </w:tc>
        <w:tc>
          <w:tcPr>
            <w:tcW w:w="1095"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hint="eastAsia" w:ascii="Times New Roman" w:hAnsi="Times New Roman"/>
                <w:color w:val="000000"/>
                <w:szCs w:val="21"/>
              </w:rPr>
              <w:t>0.0%</w:t>
            </w:r>
          </w:p>
        </w:tc>
        <w:tc>
          <w:tcPr>
            <w:tcW w:w="795"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hint="eastAsia" w:ascii="Times New Roman" w:hAnsi="Times New Roman"/>
                <w:szCs w:val="21"/>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9" w:hRule="atLeast"/>
        </w:trPr>
        <w:tc>
          <w:tcPr>
            <w:tcW w:w="80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w:t>
            </w:r>
          </w:p>
        </w:tc>
        <w:tc>
          <w:tcPr>
            <w:tcW w:w="2279"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皖电东送</w:t>
            </w:r>
          </w:p>
        </w:tc>
        <w:tc>
          <w:tcPr>
            <w:tcW w:w="1724"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677.4</w:t>
            </w:r>
          </w:p>
        </w:tc>
        <w:tc>
          <w:tcPr>
            <w:tcW w:w="1724"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0.0</w:t>
            </w:r>
          </w:p>
        </w:tc>
        <w:tc>
          <w:tcPr>
            <w:tcW w:w="1095"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hint="eastAsia" w:ascii="Times New Roman" w:hAnsi="Times New Roman"/>
                <w:color w:val="000000"/>
                <w:szCs w:val="21"/>
              </w:rPr>
              <w:t>0.0%</w:t>
            </w:r>
          </w:p>
        </w:tc>
        <w:tc>
          <w:tcPr>
            <w:tcW w:w="795"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hint="eastAsia" w:ascii="Times New Roman" w:hAnsi="Times New Roman"/>
                <w:szCs w:val="21"/>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9" w:hRule="atLeast"/>
        </w:trPr>
        <w:tc>
          <w:tcPr>
            <w:tcW w:w="80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5</w:t>
            </w:r>
          </w:p>
        </w:tc>
        <w:tc>
          <w:tcPr>
            <w:tcW w:w="2279"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浙福特高压</w:t>
            </w:r>
          </w:p>
        </w:tc>
        <w:tc>
          <w:tcPr>
            <w:tcW w:w="1724"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69.4</w:t>
            </w:r>
          </w:p>
        </w:tc>
        <w:tc>
          <w:tcPr>
            <w:tcW w:w="1724"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0.0</w:t>
            </w:r>
          </w:p>
        </w:tc>
        <w:tc>
          <w:tcPr>
            <w:tcW w:w="1095"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hint="eastAsia" w:ascii="Times New Roman" w:hAnsi="Times New Roman"/>
                <w:color w:val="000000"/>
                <w:szCs w:val="21"/>
              </w:rPr>
              <w:t>0.0%</w:t>
            </w:r>
          </w:p>
        </w:tc>
        <w:tc>
          <w:tcPr>
            <w:tcW w:w="795"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hint="eastAsia" w:ascii="Times New Roman" w:hAnsi="Times New Roman"/>
                <w:szCs w:val="21"/>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9" w:hRule="atLeast"/>
        </w:trPr>
        <w:tc>
          <w:tcPr>
            <w:tcW w:w="80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w:t>
            </w:r>
          </w:p>
        </w:tc>
        <w:tc>
          <w:tcPr>
            <w:tcW w:w="2279"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蒙西-天津南</w:t>
            </w:r>
          </w:p>
        </w:tc>
        <w:tc>
          <w:tcPr>
            <w:tcW w:w="1724"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78.9</w:t>
            </w:r>
          </w:p>
        </w:tc>
        <w:tc>
          <w:tcPr>
            <w:tcW w:w="1724"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0.0</w:t>
            </w:r>
          </w:p>
        </w:tc>
        <w:tc>
          <w:tcPr>
            <w:tcW w:w="1095"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hint="eastAsia" w:ascii="Times New Roman" w:hAnsi="Times New Roman"/>
                <w:color w:val="000000"/>
                <w:szCs w:val="21"/>
              </w:rPr>
              <w:t>0.0%</w:t>
            </w:r>
          </w:p>
        </w:tc>
        <w:tc>
          <w:tcPr>
            <w:tcW w:w="795"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hint="eastAsia" w:ascii="Times New Roman" w:hAnsi="Times New Roman"/>
                <w:szCs w:val="21"/>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9" w:hRule="atLeast"/>
        </w:trPr>
        <w:tc>
          <w:tcPr>
            <w:tcW w:w="80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7</w:t>
            </w:r>
          </w:p>
        </w:tc>
        <w:tc>
          <w:tcPr>
            <w:tcW w:w="2279"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复奉直流</w:t>
            </w:r>
          </w:p>
        </w:tc>
        <w:tc>
          <w:tcPr>
            <w:tcW w:w="1724"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307.0</w:t>
            </w:r>
          </w:p>
        </w:tc>
        <w:tc>
          <w:tcPr>
            <w:tcW w:w="1724"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297.9</w:t>
            </w:r>
          </w:p>
        </w:tc>
        <w:tc>
          <w:tcPr>
            <w:tcW w:w="1095"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hint="eastAsia" w:ascii="Times New Roman" w:hAnsi="Times New Roman"/>
                <w:color w:val="000000"/>
                <w:szCs w:val="21"/>
              </w:rPr>
              <w:t>97.0%</w:t>
            </w:r>
          </w:p>
        </w:tc>
        <w:tc>
          <w:tcPr>
            <w:tcW w:w="795"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hint="eastAsia" w:ascii="Times New Roman" w:hAnsi="Times New Roman"/>
                <w:szCs w:val="21"/>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9" w:hRule="atLeast"/>
        </w:trPr>
        <w:tc>
          <w:tcPr>
            <w:tcW w:w="80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w:t>
            </w:r>
          </w:p>
        </w:tc>
        <w:tc>
          <w:tcPr>
            <w:tcW w:w="2279"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锦苏直流</w:t>
            </w:r>
          </w:p>
        </w:tc>
        <w:tc>
          <w:tcPr>
            <w:tcW w:w="1724"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387.3</w:t>
            </w:r>
          </w:p>
        </w:tc>
        <w:tc>
          <w:tcPr>
            <w:tcW w:w="1724"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369.2</w:t>
            </w:r>
          </w:p>
        </w:tc>
        <w:tc>
          <w:tcPr>
            <w:tcW w:w="1095"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hint="eastAsia" w:ascii="Times New Roman" w:hAnsi="Times New Roman"/>
                <w:color w:val="000000"/>
                <w:szCs w:val="21"/>
              </w:rPr>
              <w:t>95.3%</w:t>
            </w:r>
          </w:p>
        </w:tc>
        <w:tc>
          <w:tcPr>
            <w:tcW w:w="795"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hint="eastAsia" w:ascii="Times New Roman" w:hAnsi="Times New Roman"/>
                <w:szCs w:val="21"/>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9" w:hRule="atLeast"/>
        </w:trPr>
        <w:tc>
          <w:tcPr>
            <w:tcW w:w="80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w:t>
            </w:r>
          </w:p>
        </w:tc>
        <w:tc>
          <w:tcPr>
            <w:tcW w:w="2279"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天中直流</w:t>
            </w:r>
          </w:p>
        </w:tc>
        <w:tc>
          <w:tcPr>
            <w:tcW w:w="1724"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324.8</w:t>
            </w:r>
          </w:p>
        </w:tc>
        <w:tc>
          <w:tcPr>
            <w:tcW w:w="1724"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158.3</w:t>
            </w:r>
          </w:p>
        </w:tc>
        <w:tc>
          <w:tcPr>
            <w:tcW w:w="1095"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hint="eastAsia" w:ascii="Times New Roman" w:hAnsi="Times New Roman"/>
                <w:color w:val="000000"/>
                <w:szCs w:val="21"/>
              </w:rPr>
              <w:t>48.7%</w:t>
            </w:r>
          </w:p>
        </w:tc>
        <w:tc>
          <w:tcPr>
            <w:tcW w:w="795"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hint="eastAsia" w:ascii="Times New Roman" w:hAnsi="Times New Roman"/>
                <w:szCs w:val="21"/>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9" w:hRule="atLeast"/>
        </w:trPr>
        <w:tc>
          <w:tcPr>
            <w:tcW w:w="80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10</w:t>
            </w:r>
          </w:p>
        </w:tc>
        <w:tc>
          <w:tcPr>
            <w:tcW w:w="2279"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宾金直流</w:t>
            </w:r>
          </w:p>
        </w:tc>
        <w:tc>
          <w:tcPr>
            <w:tcW w:w="1724"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316.2</w:t>
            </w:r>
          </w:p>
        </w:tc>
        <w:tc>
          <w:tcPr>
            <w:tcW w:w="1724"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314.1</w:t>
            </w:r>
          </w:p>
        </w:tc>
        <w:tc>
          <w:tcPr>
            <w:tcW w:w="1095"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hint="eastAsia" w:ascii="Times New Roman" w:hAnsi="Times New Roman"/>
                <w:color w:val="000000"/>
                <w:szCs w:val="21"/>
              </w:rPr>
              <w:t>99.3%</w:t>
            </w:r>
          </w:p>
        </w:tc>
        <w:tc>
          <w:tcPr>
            <w:tcW w:w="795"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hint="eastAsia" w:ascii="Times New Roman" w:hAnsi="Times New Roman"/>
                <w:szCs w:val="21"/>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9" w:hRule="atLeast"/>
        </w:trPr>
        <w:tc>
          <w:tcPr>
            <w:tcW w:w="80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11</w:t>
            </w:r>
          </w:p>
        </w:tc>
        <w:tc>
          <w:tcPr>
            <w:tcW w:w="2279"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灵绍直流</w:t>
            </w:r>
          </w:p>
        </w:tc>
        <w:tc>
          <w:tcPr>
            <w:tcW w:w="1724"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377.8</w:t>
            </w:r>
          </w:p>
        </w:tc>
        <w:tc>
          <w:tcPr>
            <w:tcW w:w="1724"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84.5</w:t>
            </w:r>
          </w:p>
        </w:tc>
        <w:tc>
          <w:tcPr>
            <w:tcW w:w="1095"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hint="eastAsia" w:ascii="Times New Roman" w:hAnsi="Times New Roman"/>
                <w:color w:val="000000"/>
                <w:szCs w:val="21"/>
              </w:rPr>
              <w:t>22.4%</w:t>
            </w:r>
          </w:p>
        </w:tc>
        <w:tc>
          <w:tcPr>
            <w:tcW w:w="795"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hint="eastAsia" w:ascii="Times New Roman" w:hAnsi="Times New Roman"/>
                <w:szCs w:val="21"/>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9" w:hRule="atLeast"/>
        </w:trPr>
        <w:tc>
          <w:tcPr>
            <w:tcW w:w="80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12</w:t>
            </w:r>
          </w:p>
        </w:tc>
        <w:tc>
          <w:tcPr>
            <w:tcW w:w="2279"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祁韶直流</w:t>
            </w:r>
          </w:p>
        </w:tc>
        <w:tc>
          <w:tcPr>
            <w:tcW w:w="1724"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177.3</w:t>
            </w:r>
          </w:p>
        </w:tc>
        <w:tc>
          <w:tcPr>
            <w:tcW w:w="1724"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83.3</w:t>
            </w:r>
          </w:p>
        </w:tc>
        <w:tc>
          <w:tcPr>
            <w:tcW w:w="1095"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hint="eastAsia" w:ascii="Times New Roman" w:hAnsi="Times New Roman"/>
                <w:color w:val="000000"/>
                <w:szCs w:val="21"/>
              </w:rPr>
              <w:t>47.0%</w:t>
            </w:r>
          </w:p>
        </w:tc>
        <w:tc>
          <w:tcPr>
            <w:tcW w:w="795"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hint="eastAsia" w:ascii="Times New Roman" w:hAnsi="Times New Roman"/>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9" w:hRule="atLeast"/>
        </w:trPr>
        <w:tc>
          <w:tcPr>
            <w:tcW w:w="80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w:t>
            </w:r>
          </w:p>
        </w:tc>
        <w:tc>
          <w:tcPr>
            <w:tcW w:w="2279"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雁淮直流</w:t>
            </w:r>
          </w:p>
        </w:tc>
        <w:tc>
          <w:tcPr>
            <w:tcW w:w="1724"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180.3</w:t>
            </w:r>
          </w:p>
        </w:tc>
        <w:tc>
          <w:tcPr>
            <w:tcW w:w="1724"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9.0</w:t>
            </w:r>
          </w:p>
        </w:tc>
        <w:tc>
          <w:tcPr>
            <w:tcW w:w="1095"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hint="eastAsia" w:ascii="Times New Roman" w:hAnsi="Times New Roman"/>
                <w:color w:val="000000"/>
                <w:szCs w:val="21"/>
              </w:rPr>
              <w:t>5.0%</w:t>
            </w:r>
          </w:p>
        </w:tc>
        <w:tc>
          <w:tcPr>
            <w:tcW w:w="795"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hint="eastAsia" w:ascii="Times New Roman" w:hAnsi="Times New Roman"/>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9" w:hRule="atLeast"/>
        </w:trPr>
        <w:tc>
          <w:tcPr>
            <w:tcW w:w="80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14</w:t>
            </w:r>
          </w:p>
        </w:tc>
        <w:tc>
          <w:tcPr>
            <w:tcW w:w="2279"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锡泰直流</w:t>
            </w:r>
          </w:p>
        </w:tc>
        <w:tc>
          <w:tcPr>
            <w:tcW w:w="1724"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56.2</w:t>
            </w:r>
          </w:p>
        </w:tc>
        <w:tc>
          <w:tcPr>
            <w:tcW w:w="1724"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0.4</w:t>
            </w:r>
          </w:p>
        </w:tc>
        <w:tc>
          <w:tcPr>
            <w:tcW w:w="1095"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hint="eastAsia" w:ascii="Times New Roman" w:hAnsi="Times New Roman"/>
                <w:color w:val="000000"/>
                <w:szCs w:val="21"/>
              </w:rPr>
              <w:t>0.7%</w:t>
            </w:r>
          </w:p>
        </w:tc>
        <w:tc>
          <w:tcPr>
            <w:tcW w:w="795"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hint="eastAsia" w:ascii="Times New Roman" w:hAnsi="Times New Roman"/>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9" w:hRule="atLeast"/>
        </w:trPr>
        <w:tc>
          <w:tcPr>
            <w:tcW w:w="80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15</w:t>
            </w:r>
          </w:p>
        </w:tc>
        <w:tc>
          <w:tcPr>
            <w:tcW w:w="2279"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昭沂直流</w:t>
            </w:r>
          </w:p>
        </w:tc>
        <w:tc>
          <w:tcPr>
            <w:tcW w:w="1724"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13.8</w:t>
            </w:r>
          </w:p>
        </w:tc>
        <w:tc>
          <w:tcPr>
            <w:tcW w:w="1724"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1.9</w:t>
            </w:r>
          </w:p>
        </w:tc>
        <w:tc>
          <w:tcPr>
            <w:tcW w:w="1095"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hint="eastAsia" w:ascii="Times New Roman" w:hAnsi="Times New Roman"/>
                <w:color w:val="000000"/>
                <w:szCs w:val="21"/>
              </w:rPr>
              <w:t>13.9%</w:t>
            </w:r>
          </w:p>
        </w:tc>
        <w:tc>
          <w:tcPr>
            <w:tcW w:w="795"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hint="eastAsia" w:ascii="Times New Roman" w:hAnsi="Times New Roman"/>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9" w:hRule="atLeast"/>
        </w:trPr>
        <w:tc>
          <w:tcPr>
            <w:tcW w:w="80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16</w:t>
            </w:r>
          </w:p>
        </w:tc>
        <w:tc>
          <w:tcPr>
            <w:tcW w:w="2279"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鲁固直流</w:t>
            </w:r>
          </w:p>
        </w:tc>
        <w:tc>
          <w:tcPr>
            <w:tcW w:w="1724"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150.3</w:t>
            </w:r>
          </w:p>
        </w:tc>
        <w:tc>
          <w:tcPr>
            <w:tcW w:w="1724"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47.5</w:t>
            </w:r>
          </w:p>
        </w:tc>
        <w:tc>
          <w:tcPr>
            <w:tcW w:w="1095"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hint="eastAsia" w:ascii="Times New Roman" w:hAnsi="Times New Roman"/>
                <w:color w:val="000000"/>
                <w:szCs w:val="21"/>
              </w:rPr>
              <w:t>31.6%</w:t>
            </w:r>
          </w:p>
        </w:tc>
        <w:tc>
          <w:tcPr>
            <w:tcW w:w="795"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hint="eastAsia" w:ascii="Times New Roman" w:hAnsi="Times New Roman"/>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9" w:hRule="atLeast"/>
        </w:trPr>
        <w:tc>
          <w:tcPr>
            <w:tcW w:w="80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17</w:t>
            </w:r>
          </w:p>
        </w:tc>
        <w:tc>
          <w:tcPr>
            <w:tcW w:w="2279"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吉泉直流</w:t>
            </w:r>
          </w:p>
        </w:tc>
        <w:tc>
          <w:tcPr>
            <w:tcW w:w="1724"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47.6</w:t>
            </w:r>
          </w:p>
        </w:tc>
        <w:tc>
          <w:tcPr>
            <w:tcW w:w="1724" w:type="dxa"/>
            <w:tcBorders>
              <w:top w:val="nil"/>
              <w:left w:val="nil"/>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1.1</w:t>
            </w:r>
          </w:p>
        </w:tc>
        <w:tc>
          <w:tcPr>
            <w:tcW w:w="1095"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hint="eastAsia" w:ascii="Times New Roman" w:hAnsi="Times New Roman"/>
                <w:color w:val="000000"/>
                <w:szCs w:val="21"/>
              </w:rPr>
              <w:t>2.3%</w:t>
            </w:r>
          </w:p>
        </w:tc>
        <w:tc>
          <w:tcPr>
            <w:tcW w:w="795"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hint="eastAsia" w:ascii="Times New Roman" w:hAnsi="Times New Roman"/>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8" w:hRule="atLeast"/>
        </w:trPr>
        <w:tc>
          <w:tcPr>
            <w:tcW w:w="80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18</w:t>
            </w:r>
          </w:p>
        </w:tc>
        <w:tc>
          <w:tcPr>
            <w:tcW w:w="2279"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楚穗直流</w:t>
            </w:r>
          </w:p>
        </w:tc>
        <w:tc>
          <w:tcPr>
            <w:tcW w:w="1724"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254.4</w:t>
            </w:r>
          </w:p>
        </w:tc>
        <w:tc>
          <w:tcPr>
            <w:tcW w:w="1724"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254.4</w:t>
            </w:r>
          </w:p>
        </w:tc>
        <w:tc>
          <w:tcPr>
            <w:tcW w:w="1095"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hint="eastAsia" w:ascii="Times New Roman" w:hAnsi="Times New Roman"/>
                <w:color w:val="000000"/>
                <w:szCs w:val="21"/>
              </w:rPr>
              <w:t>100.0%</w:t>
            </w:r>
          </w:p>
        </w:tc>
        <w:tc>
          <w:tcPr>
            <w:tcW w:w="795"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hint="eastAsia" w:ascii="Times New Roman" w:hAnsi="Times New Roman"/>
                <w:szCs w:val="21"/>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8" w:hRule="atLeast"/>
        </w:trPr>
        <w:tc>
          <w:tcPr>
            <w:tcW w:w="80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19</w:t>
            </w:r>
          </w:p>
        </w:tc>
        <w:tc>
          <w:tcPr>
            <w:tcW w:w="2279"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普侨直流</w:t>
            </w:r>
          </w:p>
        </w:tc>
        <w:tc>
          <w:tcPr>
            <w:tcW w:w="1724"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252.5</w:t>
            </w:r>
          </w:p>
        </w:tc>
        <w:tc>
          <w:tcPr>
            <w:tcW w:w="1724"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252.5</w:t>
            </w:r>
          </w:p>
        </w:tc>
        <w:tc>
          <w:tcPr>
            <w:tcW w:w="1095"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hint="eastAsia" w:ascii="Times New Roman" w:hAnsi="Times New Roman"/>
                <w:color w:val="000000"/>
                <w:szCs w:val="21"/>
              </w:rPr>
              <w:t>100.0%</w:t>
            </w:r>
          </w:p>
        </w:tc>
        <w:tc>
          <w:tcPr>
            <w:tcW w:w="795"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hint="eastAsia" w:ascii="Times New Roman" w:hAnsi="Times New Roman"/>
                <w:szCs w:val="21"/>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8" w:hRule="atLeast"/>
        </w:trPr>
        <w:tc>
          <w:tcPr>
            <w:tcW w:w="80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w:t>
            </w:r>
          </w:p>
        </w:tc>
        <w:tc>
          <w:tcPr>
            <w:tcW w:w="2279"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新东直流</w:t>
            </w:r>
          </w:p>
        </w:tc>
        <w:tc>
          <w:tcPr>
            <w:tcW w:w="1724"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181.0</w:t>
            </w:r>
          </w:p>
        </w:tc>
        <w:tc>
          <w:tcPr>
            <w:tcW w:w="1724"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181.0</w:t>
            </w:r>
          </w:p>
        </w:tc>
        <w:tc>
          <w:tcPr>
            <w:tcW w:w="1095" w:type="dxa"/>
            <w:tcBorders>
              <w:top w:val="nil"/>
              <w:left w:val="nil"/>
              <w:bottom w:val="single" w:color="auto" w:sz="4" w:space="0"/>
              <w:right w:val="single" w:color="auto" w:sz="4" w:space="0"/>
            </w:tcBorders>
            <w:vAlign w:val="bottom"/>
          </w:tcPr>
          <w:p>
            <w:pPr>
              <w:jc w:val="center"/>
              <w:rPr>
                <w:rFonts w:ascii="Times New Roman" w:hAnsi="Times New Roman"/>
                <w:color w:val="000000"/>
                <w:szCs w:val="21"/>
              </w:rPr>
            </w:pPr>
            <w:r>
              <w:rPr>
                <w:rFonts w:hint="eastAsia" w:ascii="Times New Roman" w:hAnsi="Times New Roman"/>
                <w:color w:val="000000"/>
                <w:szCs w:val="21"/>
              </w:rPr>
              <w:t>100.0%</w:t>
            </w:r>
          </w:p>
        </w:tc>
        <w:tc>
          <w:tcPr>
            <w:tcW w:w="795" w:type="dxa"/>
            <w:tcBorders>
              <w:top w:val="nil"/>
              <w:left w:val="nil"/>
              <w:bottom w:val="single" w:color="auto" w:sz="4" w:space="0"/>
              <w:right w:val="single" w:color="auto" w:sz="4" w:space="0"/>
            </w:tcBorders>
            <w:vAlign w:val="center"/>
          </w:tcPr>
          <w:p>
            <w:pPr>
              <w:jc w:val="center"/>
              <w:rPr>
                <w:rFonts w:ascii="Times New Roman" w:hAnsi="Times New Roman"/>
                <w:szCs w:val="21"/>
              </w:rPr>
            </w:pPr>
            <w:r>
              <w:rPr>
                <w:rFonts w:hint="eastAsia" w:ascii="Times New Roman" w:hAnsi="Times New Roman"/>
                <w:szCs w:val="21"/>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8" w:hRule="atLeast"/>
        </w:trPr>
        <w:tc>
          <w:tcPr>
            <w:tcW w:w="308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b/>
                <w:bCs/>
                <w:color w:val="000000"/>
                <w:kern w:val="0"/>
                <w:szCs w:val="21"/>
              </w:rPr>
            </w:pPr>
            <w:r>
              <w:rPr>
                <w:rFonts w:ascii="Times New Roman" w:hAnsi="Times New Roman"/>
                <w:b/>
                <w:bCs/>
                <w:color w:val="000000"/>
                <w:kern w:val="0"/>
                <w:szCs w:val="21"/>
              </w:rPr>
              <w:t>全  国</w:t>
            </w:r>
          </w:p>
        </w:tc>
        <w:tc>
          <w:tcPr>
            <w:tcW w:w="1724"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Cs w:val="21"/>
              </w:rPr>
            </w:pPr>
            <w:r>
              <w:rPr>
                <w:rFonts w:ascii="Times New Roman" w:hAnsi="Times New Roman"/>
                <w:b/>
                <w:bCs/>
                <w:kern w:val="0"/>
                <w:szCs w:val="21"/>
              </w:rPr>
              <w:t>3982.7</w:t>
            </w:r>
          </w:p>
        </w:tc>
        <w:tc>
          <w:tcPr>
            <w:tcW w:w="1724"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Cs w:val="21"/>
              </w:rPr>
            </w:pPr>
            <w:r>
              <w:rPr>
                <w:rFonts w:ascii="Times New Roman" w:hAnsi="Times New Roman"/>
                <w:b/>
                <w:bCs/>
                <w:kern w:val="0"/>
                <w:szCs w:val="21"/>
              </w:rPr>
              <w:t>2083.9</w:t>
            </w:r>
          </w:p>
        </w:tc>
        <w:tc>
          <w:tcPr>
            <w:tcW w:w="1095" w:type="dxa"/>
            <w:tcBorders>
              <w:top w:val="nil"/>
              <w:left w:val="nil"/>
              <w:bottom w:val="single" w:color="auto" w:sz="4" w:space="0"/>
              <w:right w:val="single" w:color="auto" w:sz="4" w:space="0"/>
            </w:tcBorders>
            <w:vAlign w:val="center"/>
          </w:tcPr>
          <w:p>
            <w:pPr>
              <w:jc w:val="center"/>
              <w:rPr>
                <w:rFonts w:ascii="Times New Roman" w:hAnsi="Times New Roman"/>
                <w:b/>
                <w:color w:val="000000"/>
                <w:szCs w:val="21"/>
              </w:rPr>
            </w:pPr>
            <w:r>
              <w:rPr>
                <w:rFonts w:ascii="Times New Roman" w:hAnsi="Times New Roman"/>
                <w:b/>
                <w:color w:val="000000"/>
                <w:szCs w:val="21"/>
              </w:rPr>
              <w:t>52.3%</w:t>
            </w:r>
          </w:p>
        </w:tc>
        <w:tc>
          <w:tcPr>
            <w:tcW w:w="795" w:type="dxa"/>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w:t>
            </w:r>
          </w:p>
        </w:tc>
      </w:tr>
    </w:tbl>
    <w:p>
      <w:pPr>
        <w:widowControl/>
        <w:jc w:val="left"/>
        <w:rPr>
          <w:rFonts w:ascii="Times New Roman" w:hAnsi="Times New Roman"/>
        </w:rPr>
      </w:pPr>
      <w:r>
        <w:rPr>
          <w:rFonts w:ascii="Times New Roman" w:hAnsi="Times New Roman"/>
          <w:color w:val="000000"/>
          <w:kern w:val="0"/>
          <w:sz w:val="22"/>
          <w:szCs w:val="24"/>
        </w:rPr>
        <w:t>注：1-17项数据为国家电网公司报送，18-20项数据为南方电网公司报送。皖电东送中特高压年输送电量为294.7亿千瓦时</w:t>
      </w:r>
      <w:r>
        <w:rPr>
          <w:rFonts w:hint="eastAsia" w:ascii="Times New Roman" w:hAnsi="Times New Roman"/>
          <w:color w:val="000000"/>
          <w:kern w:val="0"/>
          <w:sz w:val="22"/>
          <w:szCs w:val="24"/>
        </w:rPr>
        <w:t>。/表示由于线路新投产等原因没有同比数据。</w:t>
      </w:r>
    </w:p>
    <w:p>
      <w:pPr>
        <w:pStyle w:val="2"/>
        <w:ind w:firstLine="600"/>
      </w:pPr>
      <w:r>
        <w:t>七、国家清洁能源示范省（区）落实情况</w:t>
      </w:r>
    </w:p>
    <w:p>
      <w:pPr>
        <w:spacing w:line="588" w:lineRule="exact"/>
        <w:ind w:firstLine="602" w:firstLineChars="200"/>
        <w:rPr>
          <w:rFonts w:ascii="Times New Roman" w:hAnsi="Times New Roman" w:eastAsia="方正仿宋_GBK"/>
          <w:sz w:val="30"/>
          <w:szCs w:val="30"/>
        </w:rPr>
      </w:pPr>
      <w:r>
        <w:rPr>
          <w:rFonts w:ascii="Times New Roman" w:hAnsi="Times New Roman" w:eastAsia="方正仿宋_GBK"/>
          <w:b/>
          <w:sz w:val="30"/>
          <w:szCs w:val="30"/>
        </w:rPr>
        <w:t>浙江。</w:t>
      </w:r>
      <w:r>
        <w:rPr>
          <w:rFonts w:ascii="Times New Roman" w:hAnsi="Times New Roman" w:eastAsia="方正仿宋_GBK"/>
          <w:sz w:val="30"/>
          <w:szCs w:val="30"/>
        </w:rPr>
        <w:t>2018年，全部可再生能源电力消纳量为827亿千瓦时</w:t>
      </w:r>
      <w:r>
        <w:rPr>
          <w:rFonts w:hint="eastAsia" w:ascii="Times New Roman" w:hAnsi="Times New Roman" w:eastAsia="方正仿宋_GBK"/>
          <w:sz w:val="30"/>
          <w:szCs w:val="30"/>
        </w:rPr>
        <w:t>（含购买可再生能源绿色电力证书20亿千瓦时）</w:t>
      </w:r>
      <w:r>
        <w:rPr>
          <w:rFonts w:ascii="Times New Roman" w:hAnsi="Times New Roman" w:eastAsia="方正仿宋_GBK"/>
          <w:sz w:val="30"/>
          <w:szCs w:val="30"/>
        </w:rPr>
        <w:t>，</w:t>
      </w:r>
      <w:r>
        <w:rPr>
          <w:rFonts w:hint="eastAsia" w:ascii="Times New Roman" w:hAnsi="Times New Roman" w:eastAsia="方正仿宋_GBK"/>
          <w:sz w:val="30"/>
          <w:szCs w:val="30"/>
        </w:rPr>
        <w:t>实际消纳量</w:t>
      </w:r>
      <w:r>
        <w:rPr>
          <w:rFonts w:ascii="Times New Roman" w:hAnsi="Times New Roman" w:eastAsia="方正仿宋_GBK"/>
          <w:sz w:val="30"/>
          <w:szCs w:val="30"/>
        </w:rPr>
        <w:t>占本省全社会用电量的比重为</w:t>
      </w:r>
      <w:r>
        <w:rPr>
          <w:rFonts w:hint="eastAsia" w:ascii="Times New Roman" w:hAnsi="Times New Roman" w:eastAsia="方正仿宋_GBK"/>
          <w:sz w:val="30"/>
          <w:szCs w:val="30"/>
        </w:rPr>
        <w:t>17.8</w:t>
      </w:r>
      <w:r>
        <w:rPr>
          <w:rFonts w:ascii="Times New Roman" w:hAnsi="Times New Roman" w:eastAsia="方正仿宋_GBK"/>
          <w:sz w:val="30"/>
          <w:szCs w:val="30"/>
        </w:rPr>
        <w:t>%</w:t>
      </w:r>
      <w:r>
        <w:rPr>
          <w:rFonts w:hint="eastAsia" w:ascii="Times New Roman" w:hAnsi="Times New Roman" w:eastAsia="方正仿宋_GBK"/>
          <w:sz w:val="30"/>
          <w:szCs w:val="30"/>
        </w:rPr>
        <w:t>，同比下降1.5个百分点</w:t>
      </w:r>
      <w:r>
        <w:rPr>
          <w:rFonts w:ascii="Times New Roman" w:hAnsi="Times New Roman" w:eastAsia="方正仿宋_GBK"/>
          <w:sz w:val="30"/>
          <w:szCs w:val="30"/>
        </w:rPr>
        <w:t>；非水电可再生能源电力消纳量为260亿千瓦时</w:t>
      </w:r>
      <w:r>
        <w:rPr>
          <w:rFonts w:hint="eastAsia" w:ascii="Times New Roman" w:hAnsi="Times New Roman" w:eastAsia="方正仿宋_GBK"/>
          <w:sz w:val="30"/>
          <w:szCs w:val="30"/>
        </w:rPr>
        <w:t>（含购买可再生能源绿色电力证书20亿千瓦时）</w:t>
      </w:r>
      <w:r>
        <w:rPr>
          <w:rFonts w:ascii="Times New Roman" w:hAnsi="Times New Roman" w:eastAsia="方正仿宋_GBK"/>
          <w:sz w:val="30"/>
          <w:szCs w:val="30"/>
        </w:rPr>
        <w:t>，</w:t>
      </w:r>
      <w:r>
        <w:rPr>
          <w:rFonts w:hint="eastAsia" w:ascii="Times New Roman" w:hAnsi="Times New Roman" w:eastAsia="方正仿宋_GBK"/>
          <w:sz w:val="30"/>
          <w:szCs w:val="30"/>
        </w:rPr>
        <w:t>实际消纳量</w:t>
      </w:r>
      <w:r>
        <w:rPr>
          <w:rFonts w:ascii="Times New Roman" w:hAnsi="Times New Roman" w:eastAsia="方正仿宋_GBK"/>
          <w:sz w:val="30"/>
          <w:szCs w:val="30"/>
        </w:rPr>
        <w:t>占本省全社会用电量的比重为5.</w:t>
      </w:r>
      <w:r>
        <w:rPr>
          <w:rFonts w:hint="eastAsia" w:ascii="Times New Roman" w:hAnsi="Times New Roman" w:eastAsia="方正仿宋_GBK"/>
          <w:sz w:val="30"/>
          <w:szCs w:val="30"/>
        </w:rPr>
        <w:t>3</w:t>
      </w:r>
      <w:r>
        <w:rPr>
          <w:rFonts w:ascii="Times New Roman" w:hAnsi="Times New Roman" w:eastAsia="方正仿宋_GBK"/>
          <w:sz w:val="30"/>
          <w:szCs w:val="30"/>
        </w:rPr>
        <w:t>%，同比上升1.</w:t>
      </w:r>
      <w:r>
        <w:rPr>
          <w:rFonts w:hint="eastAsia" w:ascii="Times New Roman" w:hAnsi="Times New Roman" w:eastAsia="方正仿宋_GBK"/>
          <w:sz w:val="30"/>
          <w:szCs w:val="30"/>
        </w:rPr>
        <w:t>1</w:t>
      </w:r>
      <w:r>
        <w:rPr>
          <w:rFonts w:ascii="Times New Roman" w:hAnsi="Times New Roman" w:eastAsia="方正仿宋_GBK"/>
          <w:sz w:val="30"/>
          <w:szCs w:val="30"/>
        </w:rPr>
        <w:t>个百分点</w:t>
      </w:r>
      <w:r>
        <w:rPr>
          <w:rFonts w:hint="eastAsia" w:ascii="Times New Roman" w:hAnsi="Times New Roman" w:eastAsia="方正仿宋_GBK"/>
          <w:sz w:val="30"/>
          <w:szCs w:val="30"/>
        </w:rPr>
        <w:t>。</w:t>
      </w:r>
    </w:p>
    <w:p>
      <w:pPr>
        <w:spacing w:line="588" w:lineRule="exact"/>
        <w:ind w:firstLine="602" w:firstLineChars="200"/>
        <w:rPr>
          <w:rFonts w:ascii="Times New Roman" w:hAnsi="Times New Roman" w:eastAsia="方正仿宋_GBK"/>
          <w:sz w:val="30"/>
          <w:szCs w:val="30"/>
        </w:rPr>
      </w:pPr>
      <w:r>
        <w:rPr>
          <w:rFonts w:ascii="Times New Roman" w:hAnsi="Times New Roman" w:eastAsia="方正仿宋_GBK"/>
          <w:b/>
          <w:sz w:val="30"/>
          <w:szCs w:val="30"/>
        </w:rPr>
        <w:t>四川。</w:t>
      </w:r>
      <w:r>
        <w:rPr>
          <w:rFonts w:ascii="Times New Roman" w:hAnsi="Times New Roman" w:eastAsia="方正仿宋_GBK"/>
          <w:sz w:val="30"/>
          <w:szCs w:val="30"/>
        </w:rPr>
        <w:t>2018年，全部可再生能源电力消纳量为2013亿千瓦时，占本省全社会用电量的比重为81.9%</w:t>
      </w:r>
      <w:r>
        <w:rPr>
          <w:rFonts w:hint="eastAsia" w:ascii="Times New Roman" w:hAnsi="Times New Roman" w:eastAsia="方正仿宋_GBK"/>
          <w:sz w:val="30"/>
          <w:szCs w:val="30"/>
        </w:rPr>
        <w:t>，同比下降1.6个百分点</w:t>
      </w:r>
      <w:r>
        <w:rPr>
          <w:rFonts w:ascii="Times New Roman" w:hAnsi="Times New Roman" w:eastAsia="方正仿宋_GBK"/>
          <w:sz w:val="30"/>
          <w:szCs w:val="30"/>
        </w:rPr>
        <w:t>；非水电可再生能源电力消纳量为108亿千瓦时，占本省全社会用电量的比重为4.4%，同比上升1.1个百分点。</w:t>
      </w:r>
    </w:p>
    <w:p>
      <w:pPr>
        <w:spacing w:line="588" w:lineRule="exact"/>
        <w:ind w:firstLine="602" w:firstLineChars="200"/>
        <w:rPr>
          <w:rFonts w:ascii="Times New Roman" w:hAnsi="Times New Roman" w:eastAsia="方正仿宋_GBK"/>
          <w:sz w:val="30"/>
          <w:szCs w:val="30"/>
        </w:rPr>
      </w:pPr>
      <w:r>
        <w:rPr>
          <w:rFonts w:ascii="Times New Roman" w:hAnsi="Times New Roman" w:eastAsia="方正仿宋_GBK"/>
          <w:b/>
          <w:sz w:val="30"/>
          <w:szCs w:val="30"/>
        </w:rPr>
        <w:t>宁夏。</w:t>
      </w:r>
      <w:r>
        <w:rPr>
          <w:rFonts w:ascii="Times New Roman" w:hAnsi="Times New Roman" w:eastAsia="方正仿宋_GBK"/>
          <w:sz w:val="30"/>
          <w:szCs w:val="30"/>
        </w:rPr>
        <w:t>2018年，全部可再生能源电力消纳量</w:t>
      </w:r>
      <w:r>
        <w:rPr>
          <w:rFonts w:hint="eastAsia" w:ascii="Times New Roman" w:hAnsi="Times New Roman" w:eastAsia="方正仿宋_GBK"/>
          <w:sz w:val="30"/>
          <w:szCs w:val="30"/>
        </w:rPr>
        <w:t>为</w:t>
      </w:r>
      <w:r>
        <w:rPr>
          <w:rFonts w:ascii="Times New Roman" w:hAnsi="Times New Roman" w:eastAsia="方正仿宋_GBK"/>
          <w:sz w:val="30"/>
          <w:szCs w:val="30"/>
        </w:rPr>
        <w:t>268亿千瓦时，占本省全社会用电量的比重为25.2%，同比上升2.2个百分点；非水电可再生能源电力消纳量为237亿千瓦时，占本省全社会用电量的比重为22.3%，同比上升1.3个百分点。光伏发电未达到最低保障收购年利用小时数要求，</w:t>
      </w:r>
      <w:r>
        <w:rPr>
          <w:rFonts w:hint="eastAsia" w:ascii="Times New Roman" w:hAnsi="Times New Roman" w:eastAsia="方正仿宋_GBK"/>
          <w:sz w:val="30"/>
          <w:szCs w:val="30"/>
        </w:rPr>
        <w:t>比要求低</w:t>
      </w:r>
      <w:r>
        <w:rPr>
          <w:rFonts w:ascii="Times New Roman" w:hAnsi="Times New Roman" w:eastAsia="方正仿宋_GBK"/>
          <w:sz w:val="30"/>
          <w:szCs w:val="30"/>
        </w:rPr>
        <w:t>124小时。</w:t>
      </w:r>
    </w:p>
    <w:p>
      <w:pPr>
        <w:spacing w:line="588" w:lineRule="exact"/>
        <w:ind w:firstLine="602" w:firstLineChars="200"/>
        <w:rPr>
          <w:rFonts w:ascii="Times New Roman" w:hAnsi="Times New Roman" w:eastAsia="方正仿宋_GBK"/>
          <w:sz w:val="30"/>
          <w:szCs w:val="30"/>
        </w:rPr>
      </w:pPr>
      <w:r>
        <w:rPr>
          <w:rFonts w:ascii="Times New Roman" w:hAnsi="Times New Roman" w:eastAsia="方正仿宋_GBK"/>
          <w:b/>
          <w:sz w:val="30"/>
          <w:szCs w:val="30"/>
        </w:rPr>
        <w:t>甘肃。</w:t>
      </w:r>
      <w:r>
        <w:rPr>
          <w:rFonts w:ascii="Times New Roman" w:hAnsi="Times New Roman" w:eastAsia="方正仿宋_GBK"/>
          <w:sz w:val="30"/>
          <w:szCs w:val="30"/>
        </w:rPr>
        <w:t>2018年，全部可再生能源电力消纳量</w:t>
      </w:r>
      <w:r>
        <w:rPr>
          <w:rFonts w:hint="eastAsia" w:ascii="Times New Roman" w:hAnsi="Times New Roman" w:eastAsia="方正仿宋_GBK"/>
          <w:sz w:val="30"/>
          <w:szCs w:val="30"/>
        </w:rPr>
        <w:t>为</w:t>
      </w:r>
      <w:r>
        <w:rPr>
          <w:rFonts w:ascii="Times New Roman" w:hAnsi="Times New Roman" w:eastAsia="方正仿宋_GBK"/>
          <w:sz w:val="30"/>
          <w:szCs w:val="30"/>
        </w:rPr>
        <w:t>625亿千瓦时，占本省全社会用电量的比重为48.4%，同比上升1.5个百分点；非水电可再生能源电力消纳量为173亿千瓦时，占本省全社会用电量的比重为13.4%，同比下降0.4个百分点。风电和光伏发电均未达到最低保障性收购年利用小时数要求，风电II类和III类资源区分别低8小时和77小时；光伏发电I类和II类资源区分别低172小时和200小时。</w:t>
      </w:r>
    </w:p>
    <w:p>
      <w:pPr>
        <w:spacing w:line="588" w:lineRule="exact"/>
        <w:ind w:firstLine="602" w:firstLineChars="200"/>
        <w:rPr>
          <w:rFonts w:ascii="Times New Roman" w:hAnsi="Times New Roman" w:eastAsia="方正仿宋_GBK"/>
          <w:sz w:val="30"/>
          <w:szCs w:val="30"/>
        </w:rPr>
      </w:pPr>
      <w:r>
        <w:rPr>
          <w:rFonts w:ascii="Times New Roman" w:hAnsi="Times New Roman" w:eastAsia="方正仿宋_GBK"/>
          <w:b/>
          <w:sz w:val="30"/>
          <w:szCs w:val="30"/>
        </w:rPr>
        <w:t>青海。</w:t>
      </w:r>
      <w:r>
        <w:rPr>
          <w:rFonts w:ascii="Times New Roman" w:hAnsi="Times New Roman" w:eastAsia="方正仿宋_GBK"/>
          <w:sz w:val="30"/>
          <w:szCs w:val="30"/>
        </w:rPr>
        <w:t>2018年，全部可再生能源电力消纳量为577亿千瓦时，占本省全社会用电量的比重为78.2%，同比上升13.3个百分点；非水电可再生能源电力消纳量为137亿千瓦时，占本省全社会用电量的比重约为18.5%，与2017年基本持平。</w:t>
      </w:r>
    </w:p>
    <w:p>
      <w:pPr>
        <w:spacing w:line="588" w:lineRule="exact"/>
        <w:ind w:firstLine="602" w:firstLineChars="200"/>
        <w:rPr>
          <w:rFonts w:ascii="Times New Roman" w:hAnsi="Times New Roman" w:eastAsia="方正仿宋_GBK"/>
          <w:b/>
          <w:sz w:val="30"/>
          <w:szCs w:val="30"/>
        </w:rPr>
      </w:pPr>
    </w:p>
    <w:p>
      <w:pPr>
        <w:spacing w:line="588"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附件：可再生能源电力发展监测指标核算方法</w:t>
      </w:r>
    </w:p>
    <w:p>
      <w:pPr>
        <w:spacing w:line="600" w:lineRule="exact"/>
        <w:ind w:firstLine="600" w:firstLineChars="200"/>
        <w:rPr>
          <w:rFonts w:ascii="Times New Roman" w:hAnsi="Times New Roman" w:eastAsia="方正仿宋_GBK"/>
          <w:sz w:val="30"/>
          <w:szCs w:val="30"/>
        </w:rPr>
        <w:sectPr>
          <w:footerReference r:id="rId7" w:type="even"/>
          <w:pgSz w:w="11906" w:h="16838"/>
          <w:pgMar w:top="1440" w:right="1797" w:bottom="1440" w:left="1797" w:header="851" w:footer="992" w:gutter="0"/>
          <w:cols w:space="425" w:num="1"/>
          <w:docGrid w:linePitch="312" w:charSpace="0"/>
        </w:sectPr>
      </w:pPr>
    </w:p>
    <w:p>
      <w:pPr>
        <w:spacing w:line="588" w:lineRule="exact"/>
        <w:rPr>
          <w:rFonts w:ascii="Times New Roman" w:hAnsi="Times New Roman" w:eastAsia="方正黑体_GBK"/>
          <w:sz w:val="30"/>
          <w:szCs w:val="30"/>
        </w:rPr>
      </w:pPr>
      <w:r>
        <w:rPr>
          <w:rFonts w:ascii="Times New Roman" w:hAnsi="Times New Roman" w:eastAsia="方正黑体_GBK"/>
          <w:sz w:val="30"/>
          <w:szCs w:val="30"/>
        </w:rPr>
        <w:t>附件</w:t>
      </w:r>
    </w:p>
    <w:p>
      <w:pPr>
        <w:jc w:val="center"/>
        <w:rPr>
          <w:rFonts w:ascii="Times New Roman" w:hAnsi="Times New Roman"/>
          <w:color w:val="FF0000"/>
        </w:rPr>
      </w:pPr>
    </w:p>
    <w:p>
      <w:pPr>
        <w:widowControl/>
        <w:jc w:val="center"/>
        <w:rPr>
          <w:rFonts w:ascii="Times New Roman" w:hAnsi="Times New Roman" w:eastAsia="方正小标宋简体"/>
          <w:kern w:val="0"/>
          <w:sz w:val="40"/>
          <w:szCs w:val="40"/>
        </w:rPr>
      </w:pPr>
      <w:r>
        <w:rPr>
          <w:rFonts w:ascii="Times New Roman" w:hAnsi="Times New Roman" w:eastAsia="方正小标宋简体"/>
          <w:kern w:val="0"/>
          <w:sz w:val="40"/>
          <w:szCs w:val="40"/>
        </w:rPr>
        <w:t>可再生能源电力发展监测指标核算方法</w:t>
      </w:r>
    </w:p>
    <w:p>
      <w:pPr>
        <w:snapToGrid w:val="0"/>
        <w:spacing w:line="588" w:lineRule="exact"/>
        <w:jc w:val="center"/>
        <w:rPr>
          <w:rFonts w:ascii="Times New Roman" w:hAnsi="Times New Roman" w:eastAsia="方正小标宋_GBK"/>
          <w:sz w:val="40"/>
          <w:szCs w:val="40"/>
        </w:rPr>
      </w:pPr>
    </w:p>
    <w:p>
      <w:pPr>
        <w:spacing w:line="588"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1、各省（区、市）内消纳可再生能源电量，包括本地区可再生能源发电量，加上区域外输入的可再生能源电量，再扣除跨区送出的可再生能源电量。</w:t>
      </w:r>
    </w:p>
    <w:p>
      <w:pPr>
        <w:spacing w:line="588" w:lineRule="exact"/>
        <w:ind w:firstLine="600" w:firstLineChars="200"/>
        <w:rPr>
          <w:rFonts w:ascii="Times New Roman" w:hAnsi="Times New Roman" w:eastAsia="华文楷体"/>
          <w:sz w:val="28"/>
          <w:szCs w:val="28"/>
        </w:rPr>
      </w:pPr>
      <w:r>
        <w:rPr>
          <w:rFonts w:ascii="Times New Roman" w:hAnsi="Times New Roman" w:eastAsia="方正仿宋_GBK"/>
          <w:sz w:val="30"/>
          <w:szCs w:val="30"/>
        </w:rPr>
        <w:t>省（区、市）内消纳可再生能源电量 = 本地区可再生能源发电量 – 跨区送出的可再生能源电量 + 跨区送入的可再生能源电量</w:t>
      </w:r>
    </w:p>
    <w:p>
      <w:pPr>
        <w:spacing w:line="588"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2、各省（区、市）可再生能源电量消纳占比，等于各省（区、市）可再生能源消纳量除以本地区全社会用电量。</w:t>
      </w:r>
    </w:p>
    <w:p>
      <w:pPr>
        <w:spacing w:line="588"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3、各省（区、市）的全社会用电量及可再生能源发电量，采用国家统计局和国家认可的电力行业信息机构发布的统计数据。</w:t>
      </w:r>
    </w:p>
    <w:p>
      <w:pPr>
        <w:spacing w:line="588"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4、跨区跨省交易的可再生能源电量，采用国家电网公司、南方电网公司及内蒙古电力公司提供的数据。</w:t>
      </w:r>
    </w:p>
    <w:p>
      <w:pPr>
        <w:spacing w:line="588"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5</w:t>
      </w:r>
      <w:r>
        <w:rPr>
          <w:rFonts w:hint="eastAsia" w:ascii="Times New Roman" w:hAnsi="Times New Roman" w:eastAsia="方正仿宋_GBK"/>
          <w:sz w:val="30"/>
          <w:szCs w:val="30"/>
        </w:rPr>
        <w:t>、可再生能源发电企业与省级电网企业签署明确的跨区跨省购售电协议的，可再生能源发电企业所发电量根据协议实际执行情况计入对应的购电省份；其他情况按以下原则处理：</w:t>
      </w:r>
    </w:p>
    <w:p>
      <w:pPr>
        <w:spacing w:line="588" w:lineRule="exact"/>
        <w:ind w:firstLine="600" w:firstLineChars="200"/>
        <w:rPr>
          <w:rFonts w:ascii="Times New Roman" w:hAnsi="Times New Roman" w:eastAsia="方正仿宋_GBK"/>
          <w:sz w:val="30"/>
          <w:szCs w:val="30"/>
        </w:rPr>
      </w:pPr>
      <w:r>
        <w:rPr>
          <w:rFonts w:hint="eastAsia" w:ascii="Times New Roman" w:hAnsi="Times New Roman" w:eastAsia="方正仿宋_GBK"/>
          <w:sz w:val="30"/>
          <w:szCs w:val="30"/>
        </w:rPr>
        <w:t>（1）独立“点对网”跨区输入</w:t>
      </w:r>
    </w:p>
    <w:p>
      <w:pPr>
        <w:spacing w:line="588" w:lineRule="exact"/>
        <w:ind w:firstLine="600" w:firstLineChars="200"/>
        <w:rPr>
          <w:rFonts w:ascii="Times New Roman" w:hAnsi="Times New Roman" w:eastAsia="方正仿宋_GBK"/>
          <w:sz w:val="30"/>
          <w:szCs w:val="30"/>
        </w:rPr>
      </w:pPr>
      <w:r>
        <w:rPr>
          <w:rFonts w:hint="eastAsia" w:ascii="Times New Roman" w:hAnsi="Times New Roman" w:eastAsia="方正仿宋_GBK"/>
          <w:sz w:val="30"/>
          <w:szCs w:val="30"/>
        </w:rPr>
        <w:t>非水电可再生能源电力项目直接并入区域外受端电网，全部计入受端电网区域的非水电可再生能源电力消纳量，采用并网计量点的电量数据。</w:t>
      </w:r>
    </w:p>
    <w:p>
      <w:pPr>
        <w:spacing w:line="588" w:lineRule="exact"/>
        <w:ind w:firstLine="600" w:firstLineChars="200"/>
        <w:rPr>
          <w:rFonts w:ascii="Times New Roman" w:hAnsi="Times New Roman" w:eastAsia="方正仿宋_GBK"/>
          <w:sz w:val="30"/>
          <w:szCs w:val="30"/>
        </w:rPr>
      </w:pPr>
      <w:r>
        <w:rPr>
          <w:rFonts w:hint="eastAsia" w:ascii="Times New Roman" w:hAnsi="Times New Roman" w:eastAsia="方正仿宋_GBK"/>
          <w:sz w:val="30"/>
          <w:szCs w:val="30"/>
        </w:rPr>
        <w:t>（2）混合“点对网”跨区输入</w:t>
      </w:r>
    </w:p>
    <w:p>
      <w:pPr>
        <w:spacing w:line="588" w:lineRule="exact"/>
        <w:ind w:firstLine="600" w:firstLineChars="200"/>
        <w:rPr>
          <w:rFonts w:ascii="Times New Roman" w:hAnsi="Times New Roman" w:eastAsia="方正仿宋_GBK"/>
          <w:sz w:val="30"/>
          <w:szCs w:val="30"/>
        </w:rPr>
      </w:pPr>
      <w:r>
        <w:rPr>
          <w:rFonts w:hint="eastAsia" w:ascii="Times New Roman" w:hAnsi="Times New Roman" w:eastAsia="方正仿宋_GBK"/>
          <w:sz w:val="30"/>
          <w:szCs w:val="30"/>
        </w:rPr>
        <w:t>采取与火电或水电等打捆以一组电源向区外输电的，受端电网接受到的非水电可再生能源电量等于总受电量乘以外送电量中非水电可再生能源比例。</w:t>
      </w:r>
    </w:p>
    <w:p>
      <w:pPr>
        <w:spacing w:line="588" w:lineRule="exact"/>
        <w:ind w:firstLine="600" w:firstLineChars="200"/>
        <w:rPr>
          <w:rFonts w:ascii="Times New Roman" w:hAnsi="Times New Roman" w:eastAsia="方正仿宋_GBK"/>
          <w:sz w:val="30"/>
          <w:szCs w:val="30"/>
        </w:rPr>
      </w:pPr>
      <w:r>
        <w:rPr>
          <w:rFonts w:hint="eastAsia" w:ascii="Times New Roman" w:hAnsi="Times New Roman" w:eastAsia="方正仿宋_GBK"/>
          <w:sz w:val="30"/>
          <w:szCs w:val="30"/>
        </w:rPr>
        <w:t>外送电量中非水电可再生能源的比例=送端并网点计量的全部非水电可再生能源上网电量/送端并网点计量的全部上网电量。</w:t>
      </w:r>
    </w:p>
    <w:p>
      <w:pPr>
        <w:spacing w:line="588" w:lineRule="exact"/>
        <w:ind w:firstLine="600" w:firstLineChars="200"/>
        <w:rPr>
          <w:rFonts w:ascii="Times New Roman" w:hAnsi="Times New Roman" w:eastAsia="方正仿宋_GBK"/>
          <w:sz w:val="30"/>
          <w:szCs w:val="30"/>
        </w:rPr>
      </w:pPr>
      <w:r>
        <w:rPr>
          <w:rFonts w:hint="eastAsia" w:ascii="Times New Roman" w:hAnsi="Times New Roman" w:eastAsia="方正仿宋_GBK"/>
          <w:sz w:val="30"/>
          <w:szCs w:val="30"/>
        </w:rPr>
        <w:t>（3）“网对网”跨区输入</w:t>
      </w:r>
    </w:p>
    <w:p>
      <w:pPr>
        <w:spacing w:line="588" w:lineRule="exact"/>
        <w:ind w:firstLine="600" w:firstLineChars="200"/>
        <w:rPr>
          <w:rFonts w:ascii="Times New Roman" w:hAnsi="Times New Roman" w:eastAsia="方正仿宋_GBK"/>
          <w:sz w:val="30"/>
          <w:szCs w:val="30"/>
        </w:rPr>
      </w:pPr>
      <w:r>
        <w:rPr>
          <w:rFonts w:hint="eastAsia" w:ascii="Times New Roman" w:hAnsi="Times New Roman" w:eastAsia="方正仿宋_GBK"/>
          <w:sz w:val="30"/>
          <w:szCs w:val="30"/>
        </w:rPr>
        <w:t>区域间或省间电网输送电量中的非水电可再生能源电力输送量，根据电力交易机构的结算电量确定。</w:t>
      </w:r>
    </w:p>
    <w:p>
      <w:pPr>
        <w:spacing w:line="588"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5、跨省跨区可再生能源电力交易，存在“省送省”、“省送区域”两种情况。针对“省送区域”情况，如华东、华中接受外省输入的可再生能源电量时，按该区域内各省全社会用电量占本区域电网内全社会用电量的比重，计算各省输入的可再生能源电量。即：</w:t>
      </w:r>
    </w:p>
    <w:p>
      <w:pPr>
        <w:snapToGrid w:val="0"/>
        <w:ind w:firstLine="573"/>
        <w:rPr>
          <w:rFonts w:ascii="Times New Roman" w:hAnsi="Times New Roman" w:eastAsia="方正仿宋_GBK"/>
          <w:sz w:val="30"/>
          <w:szCs w:val="30"/>
        </w:rPr>
      </w:pPr>
      <w:r>
        <w:rPr>
          <w:rFonts w:ascii="Times New Roman" w:hAnsi="Times New Roman" w:eastAsia="方正仿宋_GBK"/>
          <w:i/>
          <w:sz w:val="30"/>
          <w:szCs w:val="30"/>
        </w:rPr>
        <w:t>i</w:t>
      </w:r>
      <w:r>
        <w:rPr>
          <w:rFonts w:ascii="Times New Roman" w:hAnsi="Times New Roman" w:eastAsia="方正仿宋_GBK"/>
          <w:sz w:val="30"/>
          <w:szCs w:val="30"/>
        </w:rPr>
        <w:t>省（区、市）内输入电量=可再生能源输入电量，</w:t>
      </w:r>
      <w:r>
        <w:rPr>
          <w:rFonts w:ascii="Times New Roman" w:hAnsi="Times New Roman" w:eastAsia="方正仿宋_GBK"/>
          <w:i/>
          <w:sz w:val="30"/>
          <w:szCs w:val="30"/>
        </w:rPr>
        <w:t>n</w:t>
      </w:r>
      <w:r>
        <w:rPr>
          <w:rFonts w:ascii="Times New Roman" w:hAnsi="Times New Roman" w:eastAsia="方正仿宋_GBK"/>
          <w:sz w:val="30"/>
          <w:szCs w:val="30"/>
        </w:rPr>
        <w:t>表示区域电网内包含的各省（区、市）</w:t>
      </w:r>
    </w:p>
    <w:p>
      <w:pPr>
        <w:spacing w:line="588" w:lineRule="exact"/>
        <w:ind w:firstLine="600" w:firstLineChars="200"/>
        <w:rPr>
          <w:rFonts w:ascii="Times New Roman" w:hAnsi="Times New Roman" w:eastAsia="仿宋_GB2312" w:cs="Times New Roman"/>
          <w:sz w:val="32"/>
          <w:szCs w:val="32"/>
        </w:rPr>
      </w:pPr>
      <w:r>
        <w:rPr>
          <w:rFonts w:ascii="Times New Roman" w:hAnsi="Times New Roman" w:eastAsia="方正仿宋_GBK"/>
          <w:sz w:val="30"/>
          <w:szCs w:val="30"/>
        </w:rPr>
        <w:t>6、京津冀电网（北京、天津、冀北、河北南网）是特殊区域，接入的集中式非水电可再生能源发电项目和区外输入的非水电可再生能源电量，按统一均摊原则计入比重指标核算，各自区域内接入的分布式非水电可再生能源发电量计入各自区域的比重指标核算。</w:t>
      </w:r>
    </w:p>
    <w:sectPr>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Calibri">
    <w:panose1 w:val="020F0502020204030204"/>
    <w:charset w:val="00"/>
    <w:family w:val="auto"/>
    <w:pitch w:val="default"/>
    <w:sig w:usb0="E0002AFF" w:usb1="C000247B" w:usb2="00000009" w:usb3="00000000" w:csb0="200001FF" w:csb1="00000000"/>
  </w:font>
  <w:font w:name="方正黑体_GBK">
    <w:altName w:val="黑体"/>
    <w:panose1 w:val="03000509000000000000"/>
    <w:charset w:val="86"/>
    <w:family w:val="auto"/>
    <w:pitch w:val="default"/>
    <w:sig w:usb0="00000001" w:usb1="080E0000" w:usb2="00000010" w:usb3="00000000" w:csb0="00040000"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10" w:usb3="00000000" w:csb0="00040000" w:csb1="00000000"/>
  </w:font>
  <w:font w:name="楷体_GB2312">
    <w:altName w:val="楷体"/>
    <w:panose1 w:val="02010609030101010101"/>
    <w:charset w:val="86"/>
    <w:family w:val="auto"/>
    <w:pitch w:val="default"/>
    <w:sig w:usb0="00000001" w:usb1="080E0000" w:usb2="00000010" w:usb3="00000000" w:csb0="00040000" w:csb1="00000000"/>
  </w:font>
  <w:font w:name="方正仿宋_GBK">
    <w:altName w:val="微软雅黑"/>
    <w:panose1 w:val="03000509000000000000"/>
    <w:charset w:val="86"/>
    <w:family w:val="auto"/>
    <w:pitch w:val="default"/>
    <w:sig w:usb0="00000001" w:usb1="080E0000" w:usb2="00000010" w:usb3="00000000" w:csb0="00040000" w:csb1="00000000"/>
  </w:font>
  <w:font w:name="方正小标宋_GBK">
    <w:altName w:val="微软雅黑"/>
    <w:panose1 w:val="03000509000000000000"/>
    <w:charset w:val="86"/>
    <w:family w:val="auto"/>
    <w:pitch w:val="default"/>
    <w:sig w:usb0="00000001" w:usb1="080E0000" w:usb2="00000010" w:usb3="00000000" w:csb0="00040000" w:csb1="00000000"/>
  </w:font>
  <w:font w:name="方正小标宋简体">
    <w:altName w:val="微软雅黑"/>
    <w:panose1 w:val="00000000000000000000"/>
    <w:charset w:val="86"/>
    <w:family w:val="auto"/>
    <w:pitch w:val="default"/>
    <w:sig w:usb0="00000000" w:usb1="080E0000" w:usb2="00000010" w:usb3="00000000" w:csb0="00040000" w:csb1="00000000"/>
  </w:font>
  <w:font w:name="华文楷体">
    <w:altName w:val="宋体"/>
    <w:panose1 w:val="02010600040101010101"/>
    <w:charset w:val="86"/>
    <w:family w:val="auto"/>
    <w:pitch w:val="default"/>
    <w:sig w:usb0="00000287" w:usb1="080F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rPr>
        <w:rFonts w:ascii="Times New Roman" w:hAnsi="Times New Roman" w:eastAsia="仿宋_GB2312"/>
        <w:szCs w:val="24"/>
      </w:rPr>
    </w:pPr>
    <w:r>
      <w:rPr>
        <w:rFonts w:ascii="Times New Roman" w:hAnsi="Times New Roman" w:eastAsia="仿宋_GB2312"/>
        <w:caps/>
        <w:sz w:val="22"/>
        <w:szCs w:val="28"/>
      </w:rPr>
      <w:t xml:space="preserve">— </w:t>
    </w:r>
    <w:r>
      <w:rPr>
        <w:rFonts w:ascii="Times New Roman" w:hAnsi="Times New Roman" w:eastAsia="仿宋_GB2312"/>
        <w:caps/>
        <w:sz w:val="22"/>
        <w:szCs w:val="28"/>
      </w:rPr>
      <w:fldChar w:fldCharType="begin"/>
    </w:r>
    <w:r>
      <w:rPr>
        <w:rFonts w:ascii="Times New Roman" w:hAnsi="Times New Roman" w:eastAsia="仿宋_GB2312"/>
        <w:caps/>
        <w:sz w:val="22"/>
        <w:szCs w:val="28"/>
      </w:rPr>
      <w:instrText xml:space="preserve">PAGE   \* MERGEFORMAT</w:instrText>
    </w:r>
    <w:r>
      <w:rPr>
        <w:rFonts w:ascii="Times New Roman" w:hAnsi="Times New Roman" w:eastAsia="仿宋_GB2312"/>
        <w:caps/>
        <w:sz w:val="22"/>
        <w:szCs w:val="28"/>
      </w:rPr>
      <w:fldChar w:fldCharType="separate"/>
    </w:r>
    <w:r>
      <w:rPr>
        <w:rFonts w:ascii="Times New Roman" w:hAnsi="Times New Roman" w:eastAsia="仿宋_GB2312"/>
        <w:caps/>
        <w:sz w:val="22"/>
        <w:szCs w:val="28"/>
        <w:lang w:val="zh-CN"/>
      </w:rPr>
      <w:t>1</w:t>
    </w:r>
    <w:r>
      <w:rPr>
        <w:rFonts w:ascii="Times New Roman" w:hAnsi="Times New Roman" w:eastAsia="仿宋_GB2312"/>
        <w:caps/>
        <w:sz w:val="22"/>
        <w:szCs w:val="28"/>
      </w:rPr>
      <w:fldChar w:fldCharType="end"/>
    </w:r>
    <w:r>
      <w:rPr>
        <w:rFonts w:ascii="Times New Roman" w:hAnsi="Times New Roman" w:eastAsia="仿宋_GB2312"/>
        <w:caps/>
        <w:sz w:val="22"/>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仿宋_GB2312" w:hAnsi="宋体" w:eastAsia="仿宋_GB2312"/>
        <w:caps/>
        <w:sz w:val="28"/>
        <w:szCs w:val="28"/>
      </w:rPr>
      <w:t>—</w:t>
    </w:r>
    <w:r>
      <w:rPr>
        <w:rFonts w:hint="eastAsia" w:ascii="方正仿宋_GBK" w:hAnsi="宋体"/>
        <w:caps/>
        <w:sz w:val="28"/>
        <w:szCs w:val="28"/>
      </w:rPr>
      <w:t xml:space="preserve"> </w:t>
    </w:r>
    <w:r>
      <w:rPr>
        <w:rFonts w:ascii="Times New Roman" w:hAnsi="Times New Roman" w:eastAsia="仿宋_GB2312"/>
        <w:caps/>
        <w:sz w:val="28"/>
        <w:szCs w:val="28"/>
      </w:rPr>
      <w:fldChar w:fldCharType="begin"/>
    </w:r>
    <w:r>
      <w:rPr>
        <w:rFonts w:ascii="Times New Roman" w:hAnsi="Times New Roman" w:eastAsia="仿宋_GB2312"/>
        <w:caps/>
        <w:sz w:val="28"/>
        <w:szCs w:val="28"/>
      </w:rPr>
      <w:instrText xml:space="preserve">PAGE   \* MERGEFORMAT</w:instrText>
    </w:r>
    <w:r>
      <w:rPr>
        <w:rFonts w:ascii="Times New Roman" w:hAnsi="Times New Roman" w:eastAsia="仿宋_GB2312"/>
        <w:caps/>
        <w:sz w:val="28"/>
        <w:szCs w:val="28"/>
      </w:rPr>
      <w:fldChar w:fldCharType="separate"/>
    </w:r>
    <w:r>
      <w:rPr>
        <w:rFonts w:ascii="Times New Roman" w:hAnsi="Times New Roman" w:eastAsia="仿宋_GB2312"/>
        <w:caps/>
        <w:sz w:val="28"/>
        <w:szCs w:val="28"/>
        <w:lang w:val="zh-CN"/>
      </w:rPr>
      <w:t>6</w:t>
    </w:r>
    <w:r>
      <w:rPr>
        <w:rFonts w:ascii="Times New Roman" w:hAnsi="Times New Roman" w:eastAsia="仿宋_GB2312"/>
        <w:caps/>
        <w:sz w:val="28"/>
        <w:szCs w:val="28"/>
      </w:rPr>
      <w:fldChar w:fldCharType="end"/>
    </w:r>
    <w:r>
      <w:rPr>
        <w:rFonts w:hint="eastAsia" w:ascii="方正仿宋_GBK" w:hAnsi="宋体"/>
        <w:caps/>
        <w:sz w:val="28"/>
        <w:szCs w:val="28"/>
      </w:rPr>
      <w:t xml:space="preserve"> </w:t>
    </w:r>
    <w:r>
      <w:rPr>
        <w:rFonts w:ascii="仿宋_GB2312" w:hAnsi="宋体" w:eastAsia="仿宋_GB2312"/>
        <w:caps/>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rPr>
        <w:rFonts w:ascii="仿宋_GB2312" w:hAnsi="宋体" w:eastAsia="仿宋_GB2312"/>
        <w:caps/>
        <w:sz w:val="28"/>
        <w:szCs w:val="28"/>
      </w:rPr>
      <w:t>—</w:t>
    </w:r>
    <w:r>
      <w:rPr>
        <w:rFonts w:hint="eastAsia" w:ascii="方正仿宋_GBK" w:hAnsi="宋体"/>
        <w:caps/>
        <w:sz w:val="28"/>
        <w:szCs w:val="28"/>
      </w:rPr>
      <w:t xml:space="preserve"> </w:t>
    </w:r>
    <w:r>
      <w:rPr>
        <w:rFonts w:ascii="Times New Roman" w:hAnsi="Times New Roman" w:eastAsia="仿宋_GB2312"/>
        <w:caps/>
        <w:sz w:val="28"/>
        <w:szCs w:val="28"/>
      </w:rPr>
      <w:fldChar w:fldCharType="begin"/>
    </w:r>
    <w:r>
      <w:rPr>
        <w:rFonts w:ascii="Times New Roman" w:hAnsi="Times New Roman" w:eastAsia="仿宋_GB2312"/>
        <w:caps/>
        <w:sz w:val="28"/>
        <w:szCs w:val="28"/>
      </w:rPr>
      <w:instrText xml:space="preserve">PAGE   \* MERGEFORMAT</w:instrText>
    </w:r>
    <w:r>
      <w:rPr>
        <w:rFonts w:ascii="Times New Roman" w:hAnsi="Times New Roman" w:eastAsia="仿宋_GB2312"/>
        <w:caps/>
        <w:sz w:val="28"/>
        <w:szCs w:val="28"/>
      </w:rPr>
      <w:fldChar w:fldCharType="separate"/>
    </w:r>
    <w:r>
      <w:rPr>
        <w:rFonts w:ascii="Times New Roman" w:hAnsi="Times New Roman" w:eastAsia="仿宋_GB2312"/>
        <w:caps/>
        <w:sz w:val="28"/>
        <w:szCs w:val="28"/>
        <w:lang w:val="zh-CN"/>
      </w:rPr>
      <w:t>8</w:t>
    </w:r>
    <w:r>
      <w:rPr>
        <w:rFonts w:ascii="Times New Roman" w:hAnsi="Times New Roman" w:eastAsia="仿宋_GB2312"/>
        <w:caps/>
        <w:sz w:val="28"/>
        <w:szCs w:val="28"/>
      </w:rPr>
      <w:fldChar w:fldCharType="end"/>
    </w:r>
    <w:r>
      <w:rPr>
        <w:rFonts w:hint="eastAsia" w:ascii="方正仿宋_GBK" w:hAnsi="宋体"/>
        <w:caps/>
        <w:sz w:val="28"/>
        <w:szCs w:val="28"/>
      </w:rPr>
      <w:t xml:space="preserve"> </w:t>
    </w:r>
    <w:r>
      <w:rPr>
        <w:rFonts w:ascii="仿宋_GB2312" w:hAnsi="宋体" w:eastAsia="仿宋_GB2312"/>
        <w:caps/>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仿宋_GB2312" w:hAnsi="宋体" w:eastAsia="仿宋_GB2312"/>
        <w:caps/>
        <w:sz w:val="28"/>
        <w:szCs w:val="28"/>
      </w:rPr>
      <w:t>—</w:t>
    </w:r>
    <w:r>
      <w:rPr>
        <w:rFonts w:hint="eastAsia" w:ascii="方正仿宋_GBK" w:hAnsi="宋体"/>
        <w:caps/>
        <w:sz w:val="28"/>
        <w:szCs w:val="28"/>
      </w:rPr>
      <w:t xml:space="preserve"> </w:t>
    </w:r>
    <w:r>
      <w:rPr>
        <w:rFonts w:ascii="Times New Roman" w:hAnsi="Times New Roman" w:eastAsia="仿宋_GB2312"/>
        <w:caps/>
        <w:sz w:val="28"/>
        <w:szCs w:val="28"/>
      </w:rPr>
      <w:fldChar w:fldCharType="begin"/>
    </w:r>
    <w:r>
      <w:rPr>
        <w:rFonts w:ascii="Times New Roman" w:hAnsi="Times New Roman" w:eastAsia="仿宋_GB2312"/>
        <w:caps/>
        <w:sz w:val="28"/>
        <w:szCs w:val="28"/>
      </w:rPr>
      <w:instrText xml:space="preserve">PAGE   \* MERGEFORMAT</w:instrText>
    </w:r>
    <w:r>
      <w:rPr>
        <w:rFonts w:ascii="Times New Roman" w:hAnsi="Times New Roman" w:eastAsia="仿宋_GB2312"/>
        <w:caps/>
        <w:sz w:val="28"/>
        <w:szCs w:val="28"/>
      </w:rPr>
      <w:fldChar w:fldCharType="separate"/>
    </w:r>
    <w:r>
      <w:rPr>
        <w:rFonts w:ascii="Times New Roman" w:hAnsi="Times New Roman" w:eastAsia="仿宋_GB2312"/>
        <w:caps/>
        <w:sz w:val="28"/>
        <w:szCs w:val="28"/>
        <w:lang w:val="zh-CN"/>
      </w:rPr>
      <w:t>14</w:t>
    </w:r>
    <w:r>
      <w:rPr>
        <w:rFonts w:ascii="Times New Roman" w:hAnsi="Times New Roman" w:eastAsia="仿宋_GB2312"/>
        <w:caps/>
        <w:sz w:val="28"/>
        <w:szCs w:val="28"/>
      </w:rPr>
      <w:fldChar w:fldCharType="end"/>
    </w:r>
    <w:r>
      <w:rPr>
        <w:rFonts w:hint="eastAsia" w:ascii="方正仿宋_GBK" w:hAnsi="宋体"/>
        <w:caps/>
        <w:sz w:val="28"/>
        <w:szCs w:val="28"/>
      </w:rPr>
      <w:t xml:space="preserve"> </w:t>
    </w:r>
    <w:r>
      <w:rPr>
        <w:rFonts w:ascii="仿宋_GB2312" w:hAnsi="宋体" w:eastAsia="仿宋_GB2312"/>
        <w:caps/>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15</w:t>
    </w:r>
    <w:r>
      <w:rPr>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name="annotation text"/>
    <w:lsdException w:uiPriority="99" w:semiHidden="0" w:name="header"/>
    <w:lsdException w:uiPriority="99" w:semiHidden="0" w:name="footer"/>
    <w:lsdException w:uiPriority="0" w:name="index heading"/>
    <w:lsdException w:qFormat="1" w:uiPriority="35" w:name="caption"/>
    <w:lsdException w:uiPriority="99"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99"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2"/>
    <w:qFormat/>
    <w:uiPriority w:val="9"/>
    <w:pPr>
      <w:keepNext/>
      <w:keepLines/>
      <w:snapToGrid w:val="0"/>
      <w:spacing w:line="600" w:lineRule="exact"/>
      <w:ind w:firstLine="200" w:firstLineChars="200"/>
      <w:outlineLvl w:val="0"/>
    </w:pPr>
    <w:rPr>
      <w:rFonts w:ascii="Times New Roman" w:hAnsi="Times New Roman" w:eastAsia="方正黑体_GBK" w:cs="Times New Roman"/>
      <w:bCs/>
      <w:kern w:val="44"/>
      <w:sz w:val="30"/>
      <w:szCs w:val="30"/>
    </w:rPr>
  </w:style>
  <w:style w:type="paragraph" w:styleId="3">
    <w:name w:val="heading 2"/>
    <w:basedOn w:val="1"/>
    <w:next w:val="1"/>
    <w:link w:val="23"/>
    <w:unhideWhenUsed/>
    <w:qFormat/>
    <w:uiPriority w:val="9"/>
    <w:pPr>
      <w:keepNext/>
      <w:keepLines/>
      <w:spacing w:before="260" w:after="260" w:line="416" w:lineRule="auto"/>
      <w:outlineLvl w:val="1"/>
    </w:pPr>
    <w:rPr>
      <w:rFonts w:ascii="Cambria" w:hAnsi="Cambria" w:eastAsia="宋体" w:cs="Times New Roman"/>
      <w:b/>
      <w:bCs/>
      <w:kern w:val="0"/>
      <w:sz w:val="32"/>
      <w:szCs w:val="32"/>
    </w:rPr>
  </w:style>
  <w:style w:type="character" w:default="1" w:styleId="12">
    <w:name w:val="Default Paragraph Font"/>
    <w:semiHidden/>
    <w:unhideWhenUsed/>
    <w:uiPriority w:val="1"/>
  </w:style>
  <w:style w:type="paragraph" w:styleId="4">
    <w:name w:val="annotation subject"/>
    <w:basedOn w:val="5"/>
    <w:next w:val="5"/>
    <w:link w:val="25"/>
    <w:semiHidden/>
    <w:unhideWhenUsed/>
    <w:uiPriority w:val="99"/>
    <w:rPr>
      <w:b/>
      <w:bCs/>
    </w:rPr>
  </w:style>
  <w:style w:type="paragraph" w:styleId="5">
    <w:name w:val="annotation text"/>
    <w:basedOn w:val="1"/>
    <w:link w:val="24"/>
    <w:semiHidden/>
    <w:unhideWhenUsed/>
    <w:uiPriority w:val="99"/>
    <w:pPr>
      <w:jc w:val="left"/>
    </w:pPr>
    <w:rPr>
      <w:rFonts w:ascii="Calibri" w:hAnsi="Calibri" w:eastAsia="宋体" w:cs="Times New Roman"/>
    </w:rPr>
  </w:style>
  <w:style w:type="paragraph" w:styleId="6">
    <w:name w:val="Document Map"/>
    <w:basedOn w:val="1"/>
    <w:link w:val="21"/>
    <w:semiHidden/>
    <w:unhideWhenUsed/>
    <w:uiPriority w:val="99"/>
    <w:rPr>
      <w:rFonts w:ascii="宋体" w:eastAsia="宋体"/>
      <w:sz w:val="18"/>
      <w:szCs w:val="18"/>
    </w:rPr>
  </w:style>
  <w:style w:type="paragraph" w:styleId="7">
    <w:name w:val="Balloon Text"/>
    <w:basedOn w:val="1"/>
    <w:link w:val="20"/>
    <w:semiHidden/>
    <w:unhideWhenUsed/>
    <w:uiPriority w:val="99"/>
    <w:rPr>
      <w:sz w:val="18"/>
      <w:szCs w:val="18"/>
    </w:rPr>
  </w:style>
  <w:style w:type="paragraph" w:styleId="8">
    <w:name w:val="footer"/>
    <w:basedOn w:val="1"/>
    <w:link w:val="18"/>
    <w:unhideWhenUsed/>
    <w:uiPriority w:val="99"/>
    <w:pPr>
      <w:tabs>
        <w:tab w:val="center" w:pos="4153"/>
        <w:tab w:val="right" w:pos="8306"/>
      </w:tabs>
      <w:snapToGrid w:val="0"/>
      <w:jc w:val="left"/>
    </w:pPr>
    <w:rPr>
      <w:sz w:val="18"/>
      <w:szCs w:val="18"/>
    </w:rPr>
  </w:style>
  <w:style w:type="paragraph" w:styleId="9">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table of figures"/>
    <w:basedOn w:val="1"/>
    <w:next w:val="1"/>
    <w:semiHidden/>
    <w:unhideWhenUsed/>
    <w:uiPriority w:val="99"/>
    <w:pPr>
      <w:ind w:left="200" w:leftChars="200" w:hanging="200" w:hangingChars="200"/>
    </w:pPr>
    <w:rPr>
      <w:rFonts w:ascii="Calibri" w:hAnsi="Calibri" w:eastAsia="宋体" w:cs="Times New Roman"/>
    </w:rPr>
  </w:style>
  <w:style w:type="paragraph" w:styleId="11">
    <w:name w:val="Title"/>
    <w:basedOn w:val="1"/>
    <w:next w:val="1"/>
    <w:link w:val="19"/>
    <w:qFormat/>
    <w:uiPriority w:val="10"/>
    <w:pPr>
      <w:jc w:val="center"/>
      <w:outlineLvl w:val="0"/>
    </w:pPr>
    <w:rPr>
      <w:rFonts w:ascii="仿宋" w:hAnsi="仿宋" w:eastAsia="仿宋" w:cs="宋体"/>
      <w:bCs/>
      <w:sz w:val="32"/>
      <w:szCs w:val="32"/>
    </w:rPr>
  </w:style>
  <w:style w:type="character" w:styleId="13">
    <w:name w:val="annotation reference"/>
    <w:semiHidden/>
    <w:unhideWhenUsed/>
    <w:uiPriority w:val="99"/>
    <w:rPr>
      <w:sz w:val="21"/>
      <w:szCs w:val="21"/>
    </w:rPr>
  </w:style>
  <w:style w:type="paragraph" w:customStyle="1" w:styleId="14">
    <w:name w:val="表样式"/>
    <w:basedOn w:val="10"/>
    <w:uiPriority w:val="0"/>
    <w:pPr>
      <w:snapToGrid w:val="0"/>
      <w:ind w:left="0" w:leftChars="0" w:firstLine="0" w:firstLineChars="0"/>
    </w:pPr>
    <w:rPr>
      <w:rFonts w:ascii="Times New Roman" w:hAnsi="Times New Roman" w:eastAsia="仿宋_GB2312"/>
      <w:sz w:val="24"/>
      <w:szCs w:val="20"/>
    </w:rPr>
  </w:style>
  <w:style w:type="paragraph" w:customStyle="1" w:styleId="15">
    <w:name w:val="List Paragraph"/>
    <w:basedOn w:val="1"/>
    <w:qFormat/>
    <w:uiPriority w:val="34"/>
    <w:pPr>
      <w:ind w:firstLine="420" w:firstLineChars="200"/>
    </w:pPr>
    <w:rPr>
      <w:rFonts w:ascii="Calibri" w:hAnsi="Calibri" w:eastAsia="宋体" w:cs="Times New Roman"/>
    </w:rPr>
  </w:style>
  <w:style w:type="paragraph" w:customStyle="1" w:styleId="16">
    <w:name w:val="表标题"/>
    <w:basedOn w:val="1"/>
    <w:link w:val="27"/>
    <w:qFormat/>
    <w:uiPriority w:val="0"/>
    <w:pPr>
      <w:widowControl/>
      <w:spacing w:before="240" w:after="120" w:line="600" w:lineRule="exact"/>
      <w:jc w:val="center"/>
    </w:pPr>
    <w:rPr>
      <w:rFonts w:ascii="Times New Roman" w:hAnsi="Times New Roman" w:eastAsia="楷体_GB2312" w:cs="Times New Roman"/>
      <w:color w:val="000000"/>
      <w:kern w:val="0"/>
      <w:sz w:val="28"/>
      <w:szCs w:val="20"/>
    </w:rPr>
  </w:style>
  <w:style w:type="character" w:customStyle="1" w:styleId="17">
    <w:name w:val="页眉 Char"/>
    <w:basedOn w:val="12"/>
    <w:link w:val="9"/>
    <w:uiPriority w:val="99"/>
    <w:rPr>
      <w:sz w:val="18"/>
      <w:szCs w:val="18"/>
    </w:rPr>
  </w:style>
  <w:style w:type="character" w:customStyle="1" w:styleId="18">
    <w:name w:val="页脚 Char"/>
    <w:basedOn w:val="12"/>
    <w:link w:val="8"/>
    <w:uiPriority w:val="99"/>
    <w:rPr>
      <w:sz w:val="18"/>
      <w:szCs w:val="18"/>
    </w:rPr>
  </w:style>
  <w:style w:type="character" w:customStyle="1" w:styleId="19">
    <w:name w:val="标题 Char"/>
    <w:basedOn w:val="12"/>
    <w:link w:val="11"/>
    <w:uiPriority w:val="10"/>
    <w:rPr>
      <w:rFonts w:ascii="仿宋" w:hAnsi="仿宋" w:eastAsia="仿宋" w:cs="宋体"/>
      <w:bCs/>
      <w:sz w:val="32"/>
      <w:szCs w:val="32"/>
    </w:rPr>
  </w:style>
  <w:style w:type="character" w:customStyle="1" w:styleId="20">
    <w:name w:val="批注框文本 Char"/>
    <w:basedOn w:val="12"/>
    <w:link w:val="7"/>
    <w:semiHidden/>
    <w:uiPriority w:val="99"/>
    <w:rPr>
      <w:sz w:val="18"/>
      <w:szCs w:val="18"/>
    </w:rPr>
  </w:style>
  <w:style w:type="character" w:customStyle="1" w:styleId="21">
    <w:name w:val="文档结构图 Char"/>
    <w:basedOn w:val="12"/>
    <w:link w:val="6"/>
    <w:semiHidden/>
    <w:uiPriority w:val="99"/>
    <w:rPr>
      <w:rFonts w:ascii="宋体" w:eastAsia="宋体"/>
      <w:sz w:val="18"/>
      <w:szCs w:val="18"/>
    </w:rPr>
  </w:style>
  <w:style w:type="character" w:customStyle="1" w:styleId="22">
    <w:name w:val="标题 1 Char"/>
    <w:basedOn w:val="12"/>
    <w:link w:val="2"/>
    <w:uiPriority w:val="9"/>
    <w:rPr>
      <w:rFonts w:ascii="Times New Roman" w:hAnsi="Times New Roman" w:eastAsia="方正黑体_GBK" w:cs="Times New Roman"/>
      <w:bCs/>
      <w:kern w:val="44"/>
      <w:sz w:val="30"/>
      <w:szCs w:val="30"/>
    </w:rPr>
  </w:style>
  <w:style w:type="character" w:customStyle="1" w:styleId="23">
    <w:name w:val="标题 2 Char"/>
    <w:basedOn w:val="12"/>
    <w:link w:val="3"/>
    <w:uiPriority w:val="9"/>
    <w:rPr>
      <w:rFonts w:ascii="Cambria" w:hAnsi="Cambria" w:eastAsia="宋体" w:cs="Times New Roman"/>
      <w:b/>
      <w:bCs/>
      <w:kern w:val="0"/>
      <w:sz w:val="32"/>
      <w:szCs w:val="32"/>
    </w:rPr>
  </w:style>
  <w:style w:type="character" w:customStyle="1" w:styleId="24">
    <w:name w:val="批注文字 Char"/>
    <w:basedOn w:val="12"/>
    <w:link w:val="5"/>
    <w:semiHidden/>
    <w:uiPriority w:val="99"/>
    <w:rPr>
      <w:rFonts w:ascii="Calibri" w:hAnsi="Calibri" w:eastAsia="宋体" w:cs="Times New Roman"/>
    </w:rPr>
  </w:style>
  <w:style w:type="character" w:customStyle="1" w:styleId="25">
    <w:name w:val="批注主题 Char"/>
    <w:basedOn w:val="24"/>
    <w:link w:val="4"/>
    <w:semiHidden/>
    <w:uiPriority w:val="99"/>
    <w:rPr>
      <w:b/>
      <w:bCs/>
    </w:rPr>
  </w:style>
  <w:style w:type="character" w:customStyle="1" w:styleId="26">
    <w:name w:val="页脚 字符"/>
    <w:uiPriority w:val="99"/>
  </w:style>
  <w:style w:type="character" w:customStyle="1" w:styleId="27">
    <w:name w:val="表标题 Char"/>
    <w:link w:val="16"/>
    <w:uiPriority w:val="0"/>
    <w:rPr>
      <w:rFonts w:ascii="Times New Roman" w:hAnsi="Times New Roman" w:eastAsia="楷体_GB2312" w:cs="Times New Roman"/>
      <w:color w:val="000000"/>
      <w:kern w:val="0"/>
      <w:sz w:val="28"/>
      <w:szCs w:val="2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footer" Target="footer4.xml"/><Relationship Id="rId8" Type="http://schemas.openxmlformats.org/officeDocument/2006/relationships/footer" Target="footer5.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国家能源局</Company>
  <Pages>15</Pages>
  <Words>1267</Words>
  <Characters>7222</Characters>
  <Lines>60</Lines>
  <Paragraphs>16</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2019-05-27T08:43:00Z</dcterms:created>
  <dc:creator>苏辛一</dc:creator>
  <cp:lastModifiedBy>editor</cp:lastModifiedBy>
  <cp:lastPrinted>2019-05-27T07:35:00Z</cp:lastPrinted>
  <dcterms:modified xsi:type="dcterms:W3CDTF">2019-06-10T07:02:32Z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