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adjustRightInd w:val="0"/>
        <w:snapToGrid w:val="0"/>
        <w:spacing w:line="600" w:lineRule="exact"/>
        <w:jc w:val="center"/>
        <w:rPr>
          <w:rFonts w:hint="eastAsia" w:ascii="宋体" w:hAnsi="宋体" w:eastAsia="宋体"/>
          <w:b/>
          <w:sz w:val="44"/>
          <w:szCs w:val="44"/>
        </w:rPr>
      </w:pPr>
    </w:p>
    <w:p>
      <w:pPr>
        <w:adjustRightInd w:val="0"/>
        <w:snapToGrid w:val="0"/>
        <w:spacing w:line="600" w:lineRule="exact"/>
        <w:jc w:val="center"/>
        <w:rPr>
          <w:rFonts w:ascii="宋体" w:hAnsi="宋体" w:eastAsia="宋体"/>
          <w:b/>
          <w:sz w:val="44"/>
          <w:szCs w:val="44"/>
        </w:rPr>
      </w:pPr>
      <w:r>
        <w:rPr>
          <w:rFonts w:hint="eastAsia" w:ascii="宋体" w:hAnsi="宋体" w:eastAsia="宋体"/>
          <w:b/>
          <w:sz w:val="44"/>
          <w:szCs w:val="44"/>
        </w:rPr>
        <w:t>中国罕见病诊疗服务信息系统</w:t>
      </w:r>
    </w:p>
    <w:p>
      <w:pPr>
        <w:adjustRightInd w:val="0"/>
        <w:snapToGrid w:val="0"/>
        <w:spacing w:line="600" w:lineRule="exact"/>
        <w:jc w:val="center"/>
        <w:rPr>
          <w:rFonts w:hint="eastAsia" w:ascii="宋体" w:hAnsi="宋体" w:eastAsia="宋体"/>
          <w:b/>
          <w:sz w:val="44"/>
          <w:szCs w:val="44"/>
        </w:rPr>
      </w:pPr>
      <w:r>
        <w:rPr>
          <w:rFonts w:hint="eastAsia" w:ascii="宋体" w:hAnsi="宋体" w:eastAsia="宋体"/>
          <w:b/>
          <w:sz w:val="44"/>
          <w:szCs w:val="44"/>
        </w:rPr>
        <w:t>工作管理</w:t>
      </w:r>
      <w:r>
        <w:rPr>
          <w:rFonts w:hint="default" w:ascii="宋体" w:hAnsi="宋体" w:eastAsia="宋体"/>
          <w:b/>
          <w:sz w:val="44"/>
          <w:szCs w:val="44"/>
        </w:rPr>
        <w:t>方案</w:t>
      </w:r>
    </w:p>
    <w:p>
      <w:pPr>
        <w:adjustRightInd w:val="0"/>
        <w:snapToGrid w:val="0"/>
        <w:spacing w:line="600" w:lineRule="exact"/>
        <w:jc w:val="center"/>
        <w:rPr>
          <w:rFonts w:ascii="宋体" w:hAnsi="宋体" w:eastAsia="宋体"/>
          <w:b/>
          <w:sz w:val="44"/>
          <w:szCs w:val="44"/>
        </w:rPr>
      </w:pP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为加强我国罕见病诊疗管理，提高罕见病诊疗水平，保证中国罕见病诊疗服务信息系统数据收集的完整性、标准性与规范性，根据《国家卫生健康委办公厅关于建立全国罕见病诊疗协作网的通知》有关要求，制定本工作管理</w:t>
      </w:r>
      <w:r>
        <w:rPr>
          <w:rFonts w:hint="default" w:ascii="仿宋_GB2312" w:hAnsi="仿宋" w:eastAsia="仿宋_GB2312"/>
          <w:sz w:val="32"/>
          <w:szCs w:val="32"/>
        </w:rPr>
        <w:t>方案</w:t>
      </w:r>
      <w:r>
        <w:rPr>
          <w:rFonts w:hint="eastAsia" w:ascii="仿宋_GB2312" w:hAnsi="仿宋" w:eastAsia="仿宋_GB2312"/>
          <w:sz w:val="32"/>
          <w:szCs w:val="32"/>
        </w:rPr>
        <w:t>，请各级罕见病诊疗协作网成员医院参照执行。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组织管理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罕见病诊疗协作网成员医院应</w:t>
      </w:r>
      <w:r>
        <w:rPr>
          <w:rFonts w:hint="default" w:ascii="仿宋_GB2312" w:hAnsi="仿宋" w:eastAsia="仿宋_GB2312"/>
          <w:sz w:val="32"/>
          <w:szCs w:val="32"/>
        </w:rPr>
        <w:t>明确分管院领导，并指定责任部门</w:t>
      </w:r>
      <w:r>
        <w:rPr>
          <w:rFonts w:hint="eastAsia" w:ascii="仿宋_GB2312" w:hAnsi="仿宋" w:eastAsia="仿宋_GB2312"/>
          <w:sz w:val="32"/>
          <w:szCs w:val="32"/>
        </w:rPr>
        <w:t>负责罕见病诊疗管理及数据</w:t>
      </w:r>
      <w:r>
        <w:rPr>
          <w:rFonts w:hint="default" w:ascii="仿宋_GB2312" w:hAnsi="仿宋" w:eastAsia="仿宋_GB2312"/>
          <w:sz w:val="32"/>
          <w:szCs w:val="32"/>
        </w:rPr>
        <w:t>登记</w:t>
      </w:r>
      <w:r>
        <w:rPr>
          <w:rFonts w:hint="eastAsia" w:ascii="仿宋_GB2312" w:hAnsi="仿宋" w:eastAsia="仿宋_GB2312"/>
          <w:sz w:val="32"/>
          <w:szCs w:val="32"/>
        </w:rPr>
        <w:t>等工作。</w:t>
      </w:r>
      <w:r>
        <w:rPr>
          <w:rFonts w:hint="default" w:ascii="仿宋_GB2312" w:hAnsi="仿宋" w:eastAsia="仿宋_GB2312"/>
          <w:sz w:val="32"/>
          <w:szCs w:val="32"/>
        </w:rPr>
        <w:t>有条件的医疗机构可成立</w:t>
      </w:r>
      <w:r>
        <w:rPr>
          <w:rFonts w:hint="eastAsia" w:ascii="仿宋_GB2312" w:hAnsi="仿宋" w:eastAsia="仿宋_GB2312"/>
          <w:sz w:val="32"/>
          <w:szCs w:val="32"/>
        </w:rPr>
        <w:t>罕见病专项管理办公室</w:t>
      </w:r>
      <w:r>
        <w:rPr>
          <w:rFonts w:hint="default" w:ascii="仿宋_GB2312" w:hAnsi="仿宋" w:eastAsia="仿宋_GB2312"/>
          <w:sz w:val="32"/>
          <w:szCs w:val="32"/>
        </w:rPr>
        <w:t>。</w:t>
      </w:r>
      <w:r>
        <w:rPr>
          <w:rFonts w:hint="eastAsia" w:ascii="仿宋_GB2312" w:hAnsi="仿宋" w:eastAsia="仿宋_GB2312"/>
          <w:sz w:val="32"/>
          <w:szCs w:val="32"/>
        </w:rPr>
        <w:t>主要职责如下：</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（一）负责医院内罕见病诊疗信息</w:t>
      </w:r>
      <w:r>
        <w:rPr>
          <w:rFonts w:hint="default" w:ascii="仿宋_GB2312" w:hAnsi="仿宋" w:eastAsia="仿宋_GB2312"/>
          <w:sz w:val="32"/>
          <w:szCs w:val="32"/>
        </w:rPr>
        <w:t>登记</w:t>
      </w:r>
      <w:r>
        <w:rPr>
          <w:rFonts w:hint="eastAsia" w:ascii="仿宋_GB2312" w:hAnsi="仿宋" w:eastAsia="仿宋_GB2312"/>
          <w:sz w:val="32"/>
          <w:szCs w:val="32"/>
        </w:rPr>
        <w:t>工作的管理，建设和完善本院罕见病信息网络</w:t>
      </w:r>
      <w:r>
        <w:rPr>
          <w:rFonts w:hint="default" w:ascii="仿宋_GB2312" w:hAnsi="仿宋" w:eastAsia="仿宋_GB2312"/>
          <w:sz w:val="32"/>
          <w:szCs w:val="32"/>
        </w:rPr>
        <w:t>登记</w:t>
      </w:r>
      <w:r>
        <w:rPr>
          <w:rFonts w:hint="eastAsia" w:ascii="仿宋_GB2312" w:hAnsi="仿宋" w:eastAsia="仿宋_GB2312"/>
          <w:sz w:val="32"/>
          <w:szCs w:val="32"/>
        </w:rPr>
        <w:t>系统，并为系统正常运行提供保障条件；</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（二）制定罕见病诊疗信息</w:t>
      </w:r>
      <w:r>
        <w:rPr>
          <w:rFonts w:hint="default" w:ascii="仿宋_GB2312" w:hAnsi="仿宋" w:eastAsia="仿宋_GB2312"/>
          <w:sz w:val="32"/>
          <w:szCs w:val="32"/>
        </w:rPr>
        <w:t>登记</w:t>
      </w:r>
      <w:r>
        <w:rPr>
          <w:rFonts w:hint="eastAsia" w:ascii="仿宋_GB2312" w:hAnsi="仿宋" w:eastAsia="仿宋_GB2312"/>
          <w:sz w:val="32"/>
          <w:szCs w:val="32"/>
        </w:rPr>
        <w:t>工作程序，明确各相关科室在罕见病信息</w:t>
      </w:r>
      <w:r>
        <w:rPr>
          <w:rFonts w:hint="default" w:ascii="仿宋_GB2312" w:hAnsi="仿宋" w:eastAsia="仿宋_GB2312"/>
          <w:sz w:val="32"/>
          <w:szCs w:val="32"/>
        </w:rPr>
        <w:t>登记</w:t>
      </w:r>
      <w:r>
        <w:rPr>
          <w:rFonts w:hint="eastAsia" w:ascii="仿宋_GB2312" w:hAnsi="仿宋" w:eastAsia="仿宋_GB2312"/>
          <w:sz w:val="32"/>
          <w:szCs w:val="32"/>
        </w:rPr>
        <w:t>管理工作中的职责；临床医师是罕见病</w:t>
      </w:r>
      <w:r>
        <w:rPr>
          <w:rFonts w:hint="default" w:ascii="仿宋_GB2312" w:hAnsi="仿宋" w:eastAsia="仿宋_GB2312"/>
          <w:sz w:val="32"/>
          <w:szCs w:val="32"/>
        </w:rPr>
        <w:t>登记</w:t>
      </w:r>
      <w:r>
        <w:rPr>
          <w:rFonts w:hint="eastAsia" w:ascii="仿宋_GB2312" w:hAnsi="仿宋" w:eastAsia="仿宋_GB2312"/>
          <w:sz w:val="32"/>
          <w:szCs w:val="32"/>
        </w:rPr>
        <w:t>的第一责任人，病案科负责疾病诊断编码、报卡完整性审核、患者后续随访工作；</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（三）建立健全罕见病诊断、登记、质量管理和自查等制度；</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（四）对本单位相关医务人员开展罕见病诊断标准和信息</w:t>
      </w:r>
      <w:r>
        <w:rPr>
          <w:rFonts w:hint="default" w:ascii="仿宋_GB2312" w:hAnsi="仿宋" w:eastAsia="仿宋_GB2312"/>
          <w:sz w:val="32"/>
          <w:szCs w:val="32"/>
        </w:rPr>
        <w:t>登</w:t>
      </w:r>
      <w:bookmarkStart w:id="0" w:name="_GoBack"/>
      <w:bookmarkEnd w:id="0"/>
      <w:r>
        <w:rPr>
          <w:rFonts w:hint="default" w:ascii="仿宋_GB2312" w:hAnsi="仿宋" w:eastAsia="仿宋_GB2312"/>
          <w:sz w:val="32"/>
          <w:szCs w:val="32"/>
        </w:rPr>
        <w:t>记</w:t>
      </w:r>
      <w:r>
        <w:rPr>
          <w:rFonts w:hint="eastAsia" w:ascii="仿宋_GB2312" w:hAnsi="仿宋" w:eastAsia="仿宋_GB2312"/>
          <w:sz w:val="32"/>
          <w:szCs w:val="32"/>
        </w:rPr>
        <w:t>管理技术等内容的培训；</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（五）负责罕见病信息</w:t>
      </w:r>
      <w:r>
        <w:rPr>
          <w:rFonts w:hint="default" w:ascii="仿宋_GB2312" w:hAnsi="仿宋" w:eastAsia="仿宋_GB2312"/>
          <w:sz w:val="32"/>
          <w:szCs w:val="32"/>
        </w:rPr>
        <w:t>登记</w:t>
      </w:r>
      <w:r>
        <w:rPr>
          <w:rFonts w:hint="eastAsia" w:ascii="仿宋_GB2312" w:hAnsi="仿宋" w:eastAsia="仿宋_GB2312"/>
          <w:sz w:val="32"/>
          <w:szCs w:val="32"/>
        </w:rPr>
        <w:t>的日常管理、审核检查、网络报告和质量控制，定期对本单位</w:t>
      </w:r>
      <w:r>
        <w:rPr>
          <w:rFonts w:hint="default" w:ascii="仿宋_GB2312" w:hAnsi="仿宋" w:eastAsia="仿宋_GB2312"/>
          <w:sz w:val="32"/>
          <w:szCs w:val="32"/>
        </w:rPr>
        <w:t>登记</w:t>
      </w:r>
      <w:r>
        <w:rPr>
          <w:rFonts w:hint="eastAsia" w:ascii="仿宋_GB2312" w:hAnsi="仿宋" w:eastAsia="仿宋_GB2312"/>
          <w:sz w:val="32"/>
          <w:szCs w:val="32"/>
        </w:rPr>
        <w:t>的罕见病诊疗数据及质量进行汇总、分析和通报，对发现的问题持续改进；</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六）负责本院网络与信息安全、患者隐私保护工作，制定相应的规章制度，明确管理责任，加强技术防范，严格控制患者信息的知悉范围。基于网络与信息安全相关法律法规和技术标准要求建设、使用中国罕见病诊疗服务信息系统。</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罕见病诊疗信息</w:t>
      </w:r>
      <w:r>
        <w:rPr>
          <w:rFonts w:hint="default" w:ascii="黑体" w:hAnsi="黑体" w:eastAsia="黑体"/>
          <w:sz w:val="32"/>
          <w:szCs w:val="32"/>
        </w:rPr>
        <w:t>登记</w:t>
      </w:r>
      <w:r>
        <w:rPr>
          <w:rFonts w:hint="eastAsia" w:ascii="黑体" w:hAnsi="黑体" w:eastAsia="黑体"/>
          <w:sz w:val="32"/>
          <w:szCs w:val="32"/>
        </w:rPr>
        <w:t>程序</w:t>
      </w:r>
    </w:p>
    <w:p>
      <w:pPr>
        <w:adjustRightInd w:val="0"/>
        <w:snapToGrid w:val="0"/>
        <w:spacing w:line="600" w:lineRule="exact"/>
        <w:ind w:firstLine="640" w:firstLineChars="200"/>
        <w:rPr>
          <w:rFonts w:ascii="楷体" w:hAnsi="楷体" w:eastAsia="楷体"/>
          <w:sz w:val="32"/>
          <w:szCs w:val="32"/>
        </w:rPr>
      </w:pPr>
      <w:r>
        <w:rPr>
          <w:rFonts w:hint="eastAsia" w:ascii="楷体" w:hAnsi="楷体" w:eastAsia="楷体"/>
          <w:sz w:val="32"/>
          <w:szCs w:val="32"/>
        </w:rPr>
        <w:t>（一）</w:t>
      </w:r>
      <w:r>
        <w:rPr>
          <w:rFonts w:hint="default" w:ascii="楷体" w:hAnsi="楷体" w:eastAsia="楷体"/>
          <w:sz w:val="32"/>
          <w:szCs w:val="32"/>
        </w:rPr>
        <w:t>登记</w:t>
      </w:r>
      <w:r>
        <w:rPr>
          <w:rFonts w:hint="eastAsia" w:ascii="楷体" w:hAnsi="楷体" w:eastAsia="楷体"/>
          <w:sz w:val="32"/>
          <w:szCs w:val="32"/>
        </w:rPr>
        <w:t>病种及诊断依据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1.首批</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参照国家卫生健康委等五部门联合印发的《第一批罕见病目录》，共涉及121种罕见病。后续</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范围随国家政策进行调整和扩充；</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2.诊断依据参照国家卫生健康委印发的《罕见病诊疗指南（2019年版）》；</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3.罕见病诊疗服务信息系统支持确定诊断、疑似诊断及其他罕见病的</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功能。</w:t>
      </w:r>
    </w:p>
    <w:p>
      <w:pPr>
        <w:adjustRightInd w:val="0"/>
        <w:snapToGrid w:val="0"/>
        <w:spacing w:line="600" w:lineRule="exact"/>
        <w:ind w:firstLine="640" w:firstLineChars="200"/>
        <w:rPr>
          <w:rFonts w:ascii="楷体" w:hAnsi="楷体" w:eastAsia="楷体"/>
          <w:sz w:val="32"/>
          <w:szCs w:val="32"/>
        </w:rPr>
      </w:pPr>
      <w:r>
        <w:rPr>
          <w:rFonts w:hint="eastAsia" w:ascii="楷体" w:hAnsi="楷体" w:eastAsia="楷体"/>
          <w:sz w:val="32"/>
          <w:szCs w:val="32"/>
        </w:rPr>
        <w:t>（二）</w:t>
      </w:r>
      <w:r>
        <w:rPr>
          <w:rFonts w:hint="default" w:ascii="楷体" w:hAnsi="楷体" w:eastAsia="楷体"/>
          <w:sz w:val="32"/>
          <w:szCs w:val="32"/>
        </w:rPr>
        <w:t>登记</w:t>
      </w:r>
      <w:r>
        <w:rPr>
          <w:rFonts w:hint="eastAsia" w:ascii="楷体" w:hAnsi="楷体" w:eastAsia="楷体"/>
          <w:sz w:val="32"/>
          <w:szCs w:val="32"/>
        </w:rPr>
        <w:t>方式</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各医院可根据自身情况，在保证数据完整性和准确性的基础上，选择</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方式、制定</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流程：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1.手工填报：医师填写《罕见病诊疗登记卡》，由罕见病专项管理办公室指定专人填报至中国罕见病诊疗服务信息系统；</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2.系统对接：医师在HIS系统内填报电子版《罕见病诊疗登记卡》，通过HIS与罕见病诊疗服务信息系统接口上传数据；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3.中国罕见病诊疗服务信息系统后续将进一步完善，逐步实现患者自主信息补录功能；</w:t>
      </w:r>
    </w:p>
    <w:p>
      <w:pPr>
        <w:adjustRightInd w:val="0"/>
        <w:snapToGrid w:val="0"/>
        <w:spacing w:line="600" w:lineRule="exact"/>
        <w:ind w:firstLine="640" w:firstLineChars="200"/>
        <w:rPr>
          <w:rFonts w:ascii="楷体" w:hAnsi="楷体" w:eastAsia="楷体"/>
          <w:sz w:val="32"/>
          <w:szCs w:val="32"/>
        </w:rPr>
      </w:pPr>
      <w:r>
        <w:rPr>
          <w:rFonts w:hint="eastAsia" w:ascii="楷体" w:hAnsi="楷体" w:eastAsia="楷体"/>
          <w:sz w:val="32"/>
          <w:szCs w:val="32"/>
        </w:rPr>
        <w:t>（三）</w:t>
      </w:r>
      <w:r>
        <w:rPr>
          <w:rFonts w:hint="default" w:ascii="楷体" w:hAnsi="楷体" w:eastAsia="楷体"/>
          <w:sz w:val="32"/>
          <w:szCs w:val="32"/>
        </w:rPr>
        <w:t>登记</w:t>
      </w:r>
      <w:r>
        <w:rPr>
          <w:rFonts w:hint="eastAsia" w:ascii="楷体" w:hAnsi="楷体" w:eastAsia="楷体"/>
          <w:sz w:val="32"/>
          <w:szCs w:val="32"/>
        </w:rPr>
        <w:t>时限</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1.执行首诊负责制；</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2.门诊诊断或患者出院一周内</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至中国罕见病诊疗服务信息系统。</w:t>
      </w:r>
    </w:p>
    <w:p>
      <w:pPr>
        <w:adjustRightInd w:val="0"/>
        <w:snapToGrid w:val="0"/>
        <w:spacing w:line="600" w:lineRule="exact"/>
        <w:ind w:firstLine="640" w:firstLineChars="200"/>
        <w:rPr>
          <w:rFonts w:ascii="楷体" w:hAnsi="楷体" w:eastAsia="楷体"/>
          <w:sz w:val="32"/>
          <w:szCs w:val="32"/>
        </w:rPr>
      </w:pPr>
      <w:r>
        <w:rPr>
          <w:rFonts w:hint="eastAsia" w:ascii="楷体" w:hAnsi="楷体" w:eastAsia="楷体"/>
          <w:sz w:val="32"/>
          <w:szCs w:val="32"/>
        </w:rPr>
        <w:t>（</w:t>
      </w:r>
      <w:r>
        <w:rPr>
          <w:rFonts w:hint="default" w:ascii="楷体" w:hAnsi="楷体" w:eastAsia="楷体"/>
          <w:sz w:val="32"/>
          <w:szCs w:val="32"/>
        </w:rPr>
        <w:t>四</w:t>
      </w:r>
      <w:r>
        <w:rPr>
          <w:rFonts w:hint="eastAsia" w:ascii="楷体" w:hAnsi="楷体" w:eastAsia="楷体"/>
          <w:sz w:val="32"/>
          <w:szCs w:val="32"/>
        </w:rPr>
        <w:t>）</w:t>
      </w:r>
      <w:r>
        <w:rPr>
          <w:rFonts w:hint="default" w:ascii="楷体" w:hAnsi="楷体" w:eastAsia="楷体"/>
          <w:sz w:val="32"/>
          <w:szCs w:val="32"/>
        </w:rPr>
        <w:t>登记</w:t>
      </w:r>
      <w:r>
        <w:rPr>
          <w:rFonts w:hint="eastAsia" w:ascii="楷体" w:hAnsi="楷体" w:eastAsia="楷体"/>
          <w:sz w:val="32"/>
          <w:szCs w:val="32"/>
        </w:rPr>
        <w:t>要求</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率达到100%（</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率为年</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例数除以近五年年均</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例数），关键信息准确完整率应达到100%；</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2.定期开展院内</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数据</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自查和质控，保证</w:t>
      </w:r>
      <w:r>
        <w:rPr>
          <w:rFonts w:hint="default" w:ascii="仿宋_GB2312" w:hAnsi="仿宋_GB2312" w:eastAsia="仿宋_GB2312" w:cs="仿宋_GB2312"/>
          <w:sz w:val="32"/>
          <w:szCs w:val="32"/>
        </w:rPr>
        <w:t>登记</w:t>
      </w:r>
      <w:r>
        <w:rPr>
          <w:rFonts w:hint="eastAsia" w:ascii="仿宋_GB2312" w:hAnsi="仿宋_GB2312" w:eastAsia="仿宋_GB2312" w:cs="仿宋_GB2312"/>
          <w:sz w:val="32"/>
          <w:szCs w:val="32"/>
        </w:rPr>
        <w:t>数据</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真实性、准确性。</w:t>
      </w:r>
    </w:p>
    <w:p>
      <w:pPr>
        <w:adjustRightInd w:val="0"/>
        <w:snapToGrid w:val="0"/>
        <w:spacing w:line="600" w:lineRule="exact"/>
        <w:ind w:firstLine="640" w:firstLineChars="200"/>
        <w:rPr>
          <w:rFonts w:hint="eastAsia" w:ascii="楷体" w:hAnsi="楷体" w:eastAsia="楷体"/>
          <w:sz w:val="32"/>
          <w:szCs w:val="32"/>
        </w:rPr>
      </w:pPr>
      <w:r>
        <w:rPr>
          <w:rFonts w:hint="default" w:ascii="楷体" w:hAnsi="楷体" w:eastAsia="楷体"/>
          <w:sz w:val="32"/>
          <w:szCs w:val="32"/>
        </w:rPr>
        <w:t>（五）登记流程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全国罕见病协作网成员医院可以参考以下流程</w:t>
      </w:r>
      <w:r>
        <w:rPr>
          <w:rFonts w:hint="default" w:ascii="仿宋_GB2312" w:hAnsi="仿宋_GB2312" w:eastAsia="仿宋_GB2312" w:cs="仿宋_GB2312"/>
          <w:sz w:val="32"/>
          <w:szCs w:val="32"/>
        </w:rPr>
        <w:t>图</w:t>
      </w:r>
      <w:r>
        <w:rPr>
          <w:rFonts w:hint="eastAsia" w:ascii="仿宋_GB2312" w:hAnsi="仿宋_GB2312" w:eastAsia="仿宋_GB2312" w:cs="仿宋_GB2312"/>
          <w:sz w:val="32"/>
          <w:szCs w:val="32"/>
        </w:rPr>
        <w:t>进行诊疗信息登记工作。</w:t>
      </w:r>
    </w:p>
    <w:p>
      <w:pPr>
        <w:adjustRightInd w:val="0"/>
        <w:snapToGrid w:val="0"/>
        <w:spacing w:line="600" w:lineRule="exact"/>
        <w:rPr>
          <w:rFonts w:ascii="黑体" w:hAnsi="黑体" w:eastAsia="黑体"/>
          <w:sz w:val="28"/>
          <w:szCs w:val="28"/>
        </w:rPr>
      </w:pPr>
    </w:p>
    <w:p>
      <w:pPr>
        <w:adjustRightInd w:val="0"/>
        <w:snapToGrid w:val="0"/>
        <w:spacing w:line="600" w:lineRule="exact"/>
        <w:rPr>
          <w:rFonts w:ascii="黑体" w:hAnsi="黑体" w:eastAsia="黑体"/>
          <w:sz w:val="28"/>
          <w:szCs w:val="28"/>
        </w:rPr>
      </w:pPr>
    </w:p>
    <w:p>
      <w:pPr>
        <w:adjustRightInd w:val="0"/>
        <w:snapToGrid w:val="0"/>
        <w:spacing w:line="600" w:lineRule="exact"/>
        <w:rPr>
          <w:rFonts w:ascii="黑体" w:hAnsi="黑体" w:eastAsia="黑体"/>
          <w:sz w:val="28"/>
          <w:szCs w:val="28"/>
        </w:rPr>
      </w:pPr>
    </w:p>
    <w:p>
      <w:pPr>
        <w:adjustRightInd w:val="0"/>
        <w:snapToGrid w:val="0"/>
        <w:spacing w:line="600" w:lineRule="exact"/>
        <w:rPr>
          <w:rFonts w:ascii="黑体" w:hAnsi="黑体" w:eastAsia="黑体"/>
          <w:sz w:val="28"/>
          <w:szCs w:val="28"/>
        </w:rPr>
      </w:pPr>
    </w:p>
    <w:p>
      <w:pPr>
        <w:adjustRightInd w:val="0"/>
        <w:snapToGrid w:val="0"/>
        <w:spacing w:line="600" w:lineRule="exact"/>
        <w:jc w:val="center"/>
        <w:rPr>
          <w:rFonts w:ascii="宋体" w:hAnsi="宋体" w:eastAsia="宋体"/>
          <w:b/>
          <w:sz w:val="36"/>
          <w:szCs w:val="32"/>
        </w:rPr>
      </w:pPr>
    </w:p>
    <w:p>
      <w:pPr>
        <w:jc w:val="center"/>
        <w:rPr>
          <w:rFonts w:hint="eastAsia" w:ascii="黑体" w:hAnsi="黑体" w:eastAsia="黑体"/>
          <w:sz w:val="32"/>
          <w:szCs w:val="32"/>
        </w:rPr>
      </w:pPr>
      <w:r>
        <w:rPr>
          <w:rFonts w:hint="eastAsia" w:ascii="黑体" w:hAnsi="黑体" w:eastAsia="黑体"/>
          <w:sz w:val="32"/>
          <w:szCs w:val="32"/>
        </w:rPr>
        <w:drawing>
          <wp:inline distT="0" distB="0" distL="0" distR="0">
            <wp:extent cx="4874895" cy="7595870"/>
            <wp:effectExtent l="19050" t="19050" r="20955" b="241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5387" cy="7596000"/>
                    </a:xfrm>
                    <a:prstGeom prst="rect">
                      <a:avLst/>
                    </a:prstGeom>
                    <a:ln>
                      <a:solidFill>
                        <a:schemeClr val="tx1"/>
                      </a:solidFill>
                    </a:ln>
                  </pic:spPr>
                </pic:pic>
              </a:graphicData>
            </a:graphic>
          </wp:inline>
        </w:drawing>
      </w:r>
    </w:p>
    <w:p>
      <w:pPr>
        <w:adjustRightInd w:val="0"/>
        <w:snapToGrid w:val="0"/>
        <w:spacing w:line="600" w:lineRule="exact"/>
        <w:jc w:val="center"/>
        <w:rPr>
          <w:rFonts w:hint="eastAsia" w:ascii="黑体" w:hAnsi="黑体" w:eastAsia="黑体" w:cs="黑体"/>
          <w:sz w:val="24"/>
          <w:szCs w:val="24"/>
        </w:rPr>
      </w:pPr>
      <w:r>
        <w:rPr>
          <w:rFonts w:hint="eastAsia" w:ascii="黑体" w:hAnsi="黑体" w:eastAsia="黑体" w:cs="黑体"/>
          <w:b/>
          <w:sz w:val="24"/>
          <w:szCs w:val="24"/>
        </w:rPr>
        <w:t>协作网成员医院罕见病</w:t>
      </w:r>
      <w:r>
        <w:rPr>
          <w:rFonts w:hint="default" w:ascii="黑体" w:hAnsi="黑体" w:eastAsia="黑体" w:cs="黑体"/>
          <w:b/>
          <w:sz w:val="24"/>
          <w:szCs w:val="24"/>
        </w:rPr>
        <w:t>登记</w:t>
      </w:r>
      <w:r>
        <w:rPr>
          <w:rFonts w:hint="eastAsia" w:ascii="黑体" w:hAnsi="黑体" w:eastAsia="黑体" w:cs="黑体"/>
          <w:b/>
          <w:sz w:val="24"/>
          <w:szCs w:val="24"/>
        </w:rPr>
        <w:t>流程图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2E"/>
    <w:rsid w:val="00011EC2"/>
    <w:rsid w:val="00011EE8"/>
    <w:rsid w:val="000143F7"/>
    <w:rsid w:val="000160E0"/>
    <w:rsid w:val="00031CF4"/>
    <w:rsid w:val="00045598"/>
    <w:rsid w:val="00047900"/>
    <w:rsid w:val="00053BC1"/>
    <w:rsid w:val="00062FBE"/>
    <w:rsid w:val="00075943"/>
    <w:rsid w:val="00090847"/>
    <w:rsid w:val="000A7A5E"/>
    <w:rsid w:val="000B30F1"/>
    <w:rsid w:val="000C12BF"/>
    <w:rsid w:val="000C3A2F"/>
    <w:rsid w:val="000C3DE9"/>
    <w:rsid w:val="000D3003"/>
    <w:rsid w:val="000F18EB"/>
    <w:rsid w:val="00107109"/>
    <w:rsid w:val="001172DB"/>
    <w:rsid w:val="001177E8"/>
    <w:rsid w:val="00121BD3"/>
    <w:rsid w:val="00135FF9"/>
    <w:rsid w:val="00144244"/>
    <w:rsid w:val="00153E74"/>
    <w:rsid w:val="001570DD"/>
    <w:rsid w:val="00162FF9"/>
    <w:rsid w:val="00170014"/>
    <w:rsid w:val="00170D1B"/>
    <w:rsid w:val="00171C41"/>
    <w:rsid w:val="00173F0D"/>
    <w:rsid w:val="001A382F"/>
    <w:rsid w:val="001C10D9"/>
    <w:rsid w:val="001E03EF"/>
    <w:rsid w:val="001F07E9"/>
    <w:rsid w:val="001F7078"/>
    <w:rsid w:val="001F7C4A"/>
    <w:rsid w:val="002034FD"/>
    <w:rsid w:val="002065A2"/>
    <w:rsid w:val="0021119A"/>
    <w:rsid w:val="0021361E"/>
    <w:rsid w:val="0022073C"/>
    <w:rsid w:val="002209FC"/>
    <w:rsid w:val="00225655"/>
    <w:rsid w:val="0023225C"/>
    <w:rsid w:val="00251E33"/>
    <w:rsid w:val="00266699"/>
    <w:rsid w:val="0026735F"/>
    <w:rsid w:val="00296AE9"/>
    <w:rsid w:val="002A673A"/>
    <w:rsid w:val="002B5E7D"/>
    <w:rsid w:val="002C2A19"/>
    <w:rsid w:val="002E4DC3"/>
    <w:rsid w:val="002F07E9"/>
    <w:rsid w:val="00336498"/>
    <w:rsid w:val="00351CD7"/>
    <w:rsid w:val="003643A2"/>
    <w:rsid w:val="00383A68"/>
    <w:rsid w:val="003855EA"/>
    <w:rsid w:val="003C649D"/>
    <w:rsid w:val="003E0812"/>
    <w:rsid w:val="003F01D3"/>
    <w:rsid w:val="003F7E8A"/>
    <w:rsid w:val="00411D3F"/>
    <w:rsid w:val="004242B3"/>
    <w:rsid w:val="004313A8"/>
    <w:rsid w:val="00463EC5"/>
    <w:rsid w:val="00471FBA"/>
    <w:rsid w:val="004C520E"/>
    <w:rsid w:val="004E5DBE"/>
    <w:rsid w:val="004F08A8"/>
    <w:rsid w:val="00501CE8"/>
    <w:rsid w:val="00503FA8"/>
    <w:rsid w:val="005043BA"/>
    <w:rsid w:val="00526322"/>
    <w:rsid w:val="00526678"/>
    <w:rsid w:val="00532F79"/>
    <w:rsid w:val="0053531F"/>
    <w:rsid w:val="00543A01"/>
    <w:rsid w:val="00544248"/>
    <w:rsid w:val="00546B17"/>
    <w:rsid w:val="00586D46"/>
    <w:rsid w:val="00591B53"/>
    <w:rsid w:val="005B0641"/>
    <w:rsid w:val="005B7B37"/>
    <w:rsid w:val="005C7961"/>
    <w:rsid w:val="006000A3"/>
    <w:rsid w:val="00621A72"/>
    <w:rsid w:val="00632CF7"/>
    <w:rsid w:val="00633557"/>
    <w:rsid w:val="0065567A"/>
    <w:rsid w:val="0067084E"/>
    <w:rsid w:val="0067680A"/>
    <w:rsid w:val="00694DC5"/>
    <w:rsid w:val="006A28EF"/>
    <w:rsid w:val="006A40CA"/>
    <w:rsid w:val="006D5120"/>
    <w:rsid w:val="006F6993"/>
    <w:rsid w:val="007150FA"/>
    <w:rsid w:val="007168D0"/>
    <w:rsid w:val="0073686F"/>
    <w:rsid w:val="00741A24"/>
    <w:rsid w:val="00746813"/>
    <w:rsid w:val="0075167E"/>
    <w:rsid w:val="0075783A"/>
    <w:rsid w:val="00775162"/>
    <w:rsid w:val="00795058"/>
    <w:rsid w:val="007F1067"/>
    <w:rsid w:val="00842977"/>
    <w:rsid w:val="00870309"/>
    <w:rsid w:val="00871965"/>
    <w:rsid w:val="00897332"/>
    <w:rsid w:val="008B1516"/>
    <w:rsid w:val="008B2CDC"/>
    <w:rsid w:val="008C4E00"/>
    <w:rsid w:val="008C5278"/>
    <w:rsid w:val="008C7655"/>
    <w:rsid w:val="008D69E9"/>
    <w:rsid w:val="008F2F66"/>
    <w:rsid w:val="009161B9"/>
    <w:rsid w:val="009419EC"/>
    <w:rsid w:val="00945B0F"/>
    <w:rsid w:val="009530F2"/>
    <w:rsid w:val="00966325"/>
    <w:rsid w:val="009672E9"/>
    <w:rsid w:val="0097255F"/>
    <w:rsid w:val="00991D3B"/>
    <w:rsid w:val="009A3BB7"/>
    <w:rsid w:val="009D00A6"/>
    <w:rsid w:val="00A418D4"/>
    <w:rsid w:val="00A728B7"/>
    <w:rsid w:val="00A826A7"/>
    <w:rsid w:val="00A82BE2"/>
    <w:rsid w:val="00AA4DED"/>
    <w:rsid w:val="00AA6E49"/>
    <w:rsid w:val="00AC1F04"/>
    <w:rsid w:val="00AC2972"/>
    <w:rsid w:val="00AC3C4E"/>
    <w:rsid w:val="00AC5EE5"/>
    <w:rsid w:val="00AD55DB"/>
    <w:rsid w:val="00AE53AB"/>
    <w:rsid w:val="00B073BC"/>
    <w:rsid w:val="00B5445D"/>
    <w:rsid w:val="00B711FA"/>
    <w:rsid w:val="00BA317E"/>
    <w:rsid w:val="00BA3316"/>
    <w:rsid w:val="00BA441C"/>
    <w:rsid w:val="00BA68DF"/>
    <w:rsid w:val="00BF0341"/>
    <w:rsid w:val="00BF6FEA"/>
    <w:rsid w:val="00C1536B"/>
    <w:rsid w:val="00C24118"/>
    <w:rsid w:val="00C262D4"/>
    <w:rsid w:val="00C26BCD"/>
    <w:rsid w:val="00C733D4"/>
    <w:rsid w:val="00C768A1"/>
    <w:rsid w:val="00C8494A"/>
    <w:rsid w:val="00C856A7"/>
    <w:rsid w:val="00CC4EB6"/>
    <w:rsid w:val="00CD22FB"/>
    <w:rsid w:val="00CE2439"/>
    <w:rsid w:val="00CE679A"/>
    <w:rsid w:val="00CF4271"/>
    <w:rsid w:val="00D22875"/>
    <w:rsid w:val="00D22F4E"/>
    <w:rsid w:val="00D271AA"/>
    <w:rsid w:val="00D305A3"/>
    <w:rsid w:val="00D91D1C"/>
    <w:rsid w:val="00DA3539"/>
    <w:rsid w:val="00DD1BC7"/>
    <w:rsid w:val="00DD1F14"/>
    <w:rsid w:val="00DF0B2E"/>
    <w:rsid w:val="00DF7AEA"/>
    <w:rsid w:val="00E16232"/>
    <w:rsid w:val="00E27C68"/>
    <w:rsid w:val="00E27E14"/>
    <w:rsid w:val="00E301A7"/>
    <w:rsid w:val="00E44E97"/>
    <w:rsid w:val="00E91566"/>
    <w:rsid w:val="00EB17E1"/>
    <w:rsid w:val="00EB3779"/>
    <w:rsid w:val="00EC03FA"/>
    <w:rsid w:val="00ED445A"/>
    <w:rsid w:val="00EE14EF"/>
    <w:rsid w:val="00EE3B21"/>
    <w:rsid w:val="00EE6CF6"/>
    <w:rsid w:val="00F01DCB"/>
    <w:rsid w:val="00F264CD"/>
    <w:rsid w:val="00F50A96"/>
    <w:rsid w:val="00F51406"/>
    <w:rsid w:val="00F639DC"/>
    <w:rsid w:val="00F67D62"/>
    <w:rsid w:val="00F8601D"/>
    <w:rsid w:val="00F86221"/>
    <w:rsid w:val="00FA428A"/>
    <w:rsid w:val="00FA4DD2"/>
    <w:rsid w:val="00FC3B0D"/>
    <w:rsid w:val="00FD243B"/>
    <w:rsid w:val="00FD5393"/>
    <w:rsid w:val="00FD699D"/>
    <w:rsid w:val="00FE15D3"/>
    <w:rsid w:val="00FF7F6D"/>
    <w:rsid w:val="04CC027C"/>
    <w:rsid w:val="0F600916"/>
    <w:rsid w:val="11D20873"/>
    <w:rsid w:val="18260695"/>
    <w:rsid w:val="23BF79E8"/>
    <w:rsid w:val="2C6B6AC6"/>
    <w:rsid w:val="2F513C26"/>
    <w:rsid w:val="37177BE6"/>
    <w:rsid w:val="37EA4A47"/>
    <w:rsid w:val="3F9D62C4"/>
    <w:rsid w:val="5D6265D3"/>
    <w:rsid w:val="68EA28D2"/>
    <w:rsid w:val="6F017F98"/>
    <w:rsid w:val="740E2B16"/>
    <w:rsid w:val="7B1A1A57"/>
    <w:rsid w:val="7DBEFF26"/>
    <w:rsid w:val="7FF0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qFormat/>
    <w:uiPriority w:val="99"/>
    <w:rPr>
      <w:b/>
      <w:bCs/>
    </w:rPr>
  </w:style>
  <w:style w:type="paragraph" w:styleId="3">
    <w:name w:val="annotation text"/>
    <w:basedOn w:val="1"/>
    <w:link w:val="13"/>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眉 字符"/>
    <w:basedOn w:val="7"/>
    <w:link w:val="6"/>
    <w:qFormat/>
    <w:uiPriority w:val="99"/>
    <w:rPr>
      <w:sz w:val="18"/>
      <w:szCs w:val="18"/>
    </w:rPr>
  </w:style>
  <w:style w:type="character" w:customStyle="1" w:styleId="11">
    <w:name w:val="页脚 字符"/>
    <w:basedOn w:val="7"/>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字符"/>
    <w:basedOn w:val="7"/>
    <w:link w:val="3"/>
    <w:semiHidden/>
    <w:qFormat/>
    <w:uiPriority w:val="99"/>
  </w:style>
  <w:style w:type="character" w:customStyle="1" w:styleId="14">
    <w:name w:val="批注主题 字符"/>
    <w:basedOn w:val="13"/>
    <w:link w:val="2"/>
    <w:semiHidden/>
    <w:qFormat/>
    <w:uiPriority w:val="99"/>
    <w:rPr>
      <w:b/>
      <w:bCs/>
    </w:rPr>
  </w:style>
  <w:style w:type="character" w:customStyle="1" w:styleId="15">
    <w:name w:val="批注框文本 字符"/>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Words>
  <Characters>1008</Characters>
  <Lines>8</Lines>
  <Paragraphs>2</Paragraphs>
  <TotalTime>14</TotalTime>
  <ScaleCrop>false</ScaleCrop>
  <LinksUpToDate>false</LinksUpToDate>
  <CharactersWithSpaces>1182</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2019-03-13T09:06:00Z</dcterms:created>
  <dc:creator>张国杰</dc:creator>
  <cp:lastModifiedBy>医政医管局,医疗管理处,张文宝01</cp:lastModifiedBy>
  <cp:lastPrinted>2019-10-12T10:45:22Z</cp:lastPrinted>
  <dcterms:modified xsi:type="dcterms:W3CDTF">2019-10-12T10:46:47Z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