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宋体"/>
          <w:bCs/>
          <w:sz w:val="32"/>
          <w:szCs w:val="32"/>
        </w:rPr>
      </w:pPr>
      <w:bookmarkStart w:id="2" w:name="_GoBack"/>
      <w:bookmarkEnd w:id="2"/>
      <w:r>
        <w:rPr>
          <w:rFonts w:hint="eastAsia" w:ascii="仿宋" w:hAnsi="仿宋" w:eastAsia="仿宋" w:cs="宋体"/>
          <w:bCs/>
          <w:sz w:val="32"/>
          <w:szCs w:val="32"/>
        </w:rPr>
        <w:t>附件2</w:t>
      </w:r>
    </w:p>
    <w:p>
      <w:pPr>
        <w:jc w:val="center"/>
        <w:rPr>
          <w:rFonts w:ascii="宋体" w:hAnsi="宋体" w:cs="宋体"/>
          <w:b/>
          <w:bCs/>
          <w:sz w:val="44"/>
          <w:szCs w:val="44"/>
        </w:rPr>
      </w:pPr>
    </w:p>
    <w:p>
      <w:pPr>
        <w:jc w:val="center"/>
        <w:rPr>
          <w:rFonts w:ascii="宋体"/>
          <w:b/>
          <w:bCs/>
          <w:sz w:val="44"/>
          <w:szCs w:val="44"/>
        </w:rPr>
      </w:pPr>
      <w:r>
        <w:rPr>
          <w:rFonts w:hint="eastAsia" w:ascii="宋体" w:hAnsi="宋体" w:cs="宋体"/>
          <w:b/>
          <w:bCs/>
          <w:sz w:val="44"/>
          <w:szCs w:val="44"/>
        </w:rPr>
        <w:t>关于实施中华人民共和国政府和日本国</w:t>
      </w:r>
      <w:r>
        <w:rPr>
          <w:rFonts w:ascii="宋体" w:hAnsi="宋体" w:cs="宋体"/>
          <w:b/>
          <w:bCs/>
          <w:sz w:val="44"/>
          <w:szCs w:val="44"/>
        </w:rPr>
        <w:br w:type="textWrapping"/>
      </w:r>
      <w:r>
        <w:rPr>
          <w:rFonts w:hint="eastAsia" w:ascii="宋体" w:hAnsi="宋体" w:cs="宋体"/>
          <w:b/>
          <w:bCs/>
          <w:sz w:val="44"/>
          <w:szCs w:val="44"/>
        </w:rPr>
        <w:t>政府社会保障协定的行政协议</w:t>
      </w:r>
      <w:r>
        <w:rPr>
          <w:rFonts w:ascii="宋体" w:hAnsi="宋体" w:cs="宋体"/>
          <w:b/>
          <w:bCs/>
          <w:sz w:val="44"/>
          <w:szCs w:val="44"/>
        </w:rPr>
        <w:br w:type="textWrapping"/>
      </w:r>
    </w:p>
    <w:p>
      <w:pPr>
        <w:rPr>
          <w:rFonts w:ascii="仿宋_GB2312" w:hAnsi="仿宋_GB2312" w:eastAsia="仿宋_GB2312" w:cs="仿宋_GB2312"/>
          <w:sz w:val="32"/>
          <w:szCs w:val="32"/>
        </w:rPr>
      </w:pPr>
      <w:r>
        <w:t xml:space="preserve">      </w:t>
      </w:r>
      <w:r>
        <w:rPr>
          <w:rFonts w:hint="eastAsia" w:ascii="仿宋_GB2312" w:hAnsi="仿宋_GB2312" w:eastAsia="仿宋_GB2312" w:cs="仿宋_GB2312"/>
          <w:sz w:val="32"/>
          <w:szCs w:val="32"/>
        </w:rPr>
        <w:t>中华人民共和国主管机关与日本国主管机关为实施于二〇一八年五月九日</w:t>
      </w:r>
      <w:r>
        <w:rPr>
          <w:rFonts w:ascii="仿宋_GB2312" w:hAnsi="仿宋_GB2312" w:eastAsia="仿宋_GB2312" w:cs="仿宋_GB2312"/>
          <w:sz w:val="32"/>
          <w:szCs w:val="32"/>
        </w:rPr>
        <w:t>在东京</w:t>
      </w:r>
      <w:r>
        <w:rPr>
          <w:rFonts w:hint="eastAsia" w:ascii="仿宋_GB2312" w:hAnsi="仿宋_GB2312" w:eastAsia="仿宋_GB2312" w:cs="仿宋_GB2312"/>
          <w:sz w:val="32"/>
          <w:szCs w:val="32"/>
        </w:rPr>
        <w:t>签订的《中华人民共和国政府和日本国政府社会保障协定》（以下简称“协定”），依据协定第十二条第一款第一项，达成行政协议如下：</w:t>
      </w:r>
    </w:p>
    <w:p>
      <w:pPr>
        <w:rPr>
          <w:rFonts w:ascii="仿宋_GB2312" w:hAnsi="仿宋_GB2312" w:eastAsia="仿宋_GB2312" w:cs="仿宋_GB2312"/>
          <w:sz w:val="32"/>
          <w:szCs w:val="32"/>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定义</w:t>
      </w:r>
    </w:p>
    <w:p>
      <w:pPr>
        <w:jc w:val="center"/>
        <w:rPr>
          <w:rFonts w:ascii="仿宋_GB2312" w:hAnsi="仿宋_GB2312" w:eastAsia="仿宋_GB2312"/>
          <w:b/>
          <w:bCs/>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本行政协议中的术语与协定中所使用的含义相同。</w:t>
      </w:r>
    </w:p>
    <w:p>
      <w:pPr>
        <w:ind w:firstLine="640" w:firstLineChars="200"/>
        <w:rPr>
          <w:rFonts w:ascii="仿宋_GB2312" w:hAnsi="仿宋_GB2312" w:eastAsia="仿宋_GB2312" w:cs="仿宋_GB2312"/>
          <w:sz w:val="32"/>
          <w:szCs w:val="32"/>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联络机构</w:t>
      </w:r>
    </w:p>
    <w:p>
      <w:pPr>
        <w:jc w:val="center"/>
        <w:rPr>
          <w:rFonts w:ascii="仿宋_GB2312" w:hAnsi="仿宋_GB2312" w:eastAsia="仿宋_GB2312"/>
          <w:b/>
          <w:bCs/>
          <w:sz w:val="32"/>
          <w:szCs w:val="32"/>
        </w:rPr>
      </w:pPr>
    </w:p>
    <w:p>
      <w:pPr>
        <w:ind w:firstLine="640" w:firstLineChars="200"/>
        <w:rPr>
          <w:rFonts w:ascii="仿宋_GB2312" w:eastAsia="仿宋_GB2312"/>
          <w:sz w:val="32"/>
          <w:szCs w:val="32"/>
        </w:rPr>
      </w:pPr>
      <w:r>
        <w:rPr>
          <w:rFonts w:hint="eastAsia" w:ascii="仿宋_GB2312" w:eastAsia="仿宋_GB2312"/>
          <w:sz w:val="32"/>
          <w:szCs w:val="32"/>
        </w:rPr>
        <w:t>一、依据协定第十二条第一款第二项，指定以下机构为联络机构：</w:t>
      </w:r>
    </w:p>
    <w:p>
      <w:pPr>
        <w:pStyle w:val="11"/>
        <w:numPr>
          <w:ilvl w:val="0"/>
          <w:numId w:val="1"/>
        </w:numPr>
        <w:ind w:left="0" w:firstLine="566" w:firstLineChars="177"/>
        <w:rPr>
          <w:rFonts w:ascii="仿宋_GB2312" w:eastAsia="仿宋_GB2312"/>
          <w:sz w:val="32"/>
          <w:szCs w:val="32"/>
        </w:rPr>
      </w:pPr>
      <w:r>
        <w:rPr>
          <w:rFonts w:hint="eastAsia" w:ascii="仿宋_GB2312" w:eastAsia="仿宋_GB2312"/>
          <w:sz w:val="32"/>
          <w:szCs w:val="32"/>
        </w:rPr>
        <w:t>在中华人民共和国，系指人力资源和社会保障部社会保险事业管理中心；</w:t>
      </w:r>
    </w:p>
    <w:p>
      <w:pPr>
        <w:pStyle w:val="11"/>
        <w:numPr>
          <w:ilvl w:val="0"/>
          <w:numId w:val="1"/>
        </w:numPr>
        <w:ind w:left="0" w:firstLine="567" w:firstLineChars="0"/>
        <w:rPr>
          <w:rFonts w:ascii="仿宋_GB2312" w:eastAsia="仿宋_GB2312"/>
          <w:sz w:val="32"/>
          <w:szCs w:val="32"/>
        </w:rPr>
      </w:pPr>
      <w:r>
        <w:rPr>
          <w:rFonts w:hint="eastAsia" w:ascii="仿宋_GB2312" w:eastAsia="仿宋_GB2312"/>
          <w:sz w:val="32"/>
          <w:szCs w:val="32"/>
        </w:rPr>
        <w:t>在日本国，</w:t>
      </w:r>
      <w:r>
        <w:rPr>
          <w:rFonts w:ascii="仿宋_GB2312" w:eastAsia="仿宋_GB2312"/>
          <w:sz w:val="32"/>
          <w:szCs w:val="32"/>
        </w:rPr>
        <w:t xml:space="preserve"> </w:t>
      </w:r>
    </w:p>
    <w:p>
      <w:pPr>
        <w:pStyle w:val="11"/>
        <w:tabs>
          <w:tab w:val="left" w:pos="1002"/>
        </w:tabs>
        <w:ind w:firstLine="707" w:firstLineChars="221"/>
        <w:rPr>
          <w:rFonts w:ascii="仿宋_GB2312" w:eastAsia="仿宋_GB2312"/>
          <w:sz w:val="32"/>
          <w:szCs w:val="32"/>
        </w:rPr>
      </w:pPr>
      <w:r>
        <w:rPr>
          <w:rFonts w:hint="eastAsia" w:ascii="仿宋_GB2312" w:eastAsia="仿宋_GB2312"/>
          <w:sz w:val="32"/>
          <w:szCs w:val="32"/>
        </w:rPr>
        <w:t>1.对于国民年金和厚生年金保险第一类参保人员的厚生年金保险，系指厚生劳动大臣和日本年金机构；</w:t>
      </w:r>
    </w:p>
    <w:p>
      <w:pPr>
        <w:pStyle w:val="11"/>
        <w:ind w:firstLine="64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对于厚生年金保险第二类参保人员的厚生年金保险，系指国家公务员共济组合联合会；</w:t>
      </w:r>
    </w:p>
    <w:p>
      <w:pPr>
        <w:pStyle w:val="11"/>
        <w:ind w:firstLine="640"/>
        <w:rPr>
          <w:rFonts w:ascii="仿宋_GB2312" w:eastAsia="仿宋_GB2312"/>
          <w:sz w:val="32"/>
          <w:szCs w:val="32"/>
        </w:rPr>
      </w:pPr>
      <w:r>
        <w:rPr>
          <w:rFonts w:hint="eastAsia" w:ascii="仿宋_GB2312" w:eastAsia="仿宋_GB2312"/>
          <w:sz w:val="32"/>
          <w:szCs w:val="32"/>
        </w:rPr>
        <w:t>3.对于厚生年金保险第三类参保人员的厚生年金保险，系指地方公务员共济组合联合会；</w:t>
      </w:r>
    </w:p>
    <w:p>
      <w:pPr>
        <w:pStyle w:val="11"/>
        <w:ind w:firstLine="640"/>
        <w:rPr>
          <w:rFonts w:ascii="仿宋_GB2312" w:eastAsia="仿宋_GB2312"/>
          <w:sz w:val="32"/>
          <w:szCs w:val="32"/>
        </w:rPr>
      </w:pPr>
      <w:r>
        <w:rPr>
          <w:rFonts w:hint="eastAsia" w:ascii="仿宋_GB2312" w:eastAsia="仿宋_GB2312"/>
          <w:sz w:val="32"/>
          <w:szCs w:val="32"/>
        </w:rPr>
        <w:t>4.对于厚生年金保险第四类参保人员的厚生年金保险，系指日本私立学校振兴·共济事业团。</w:t>
      </w:r>
    </w:p>
    <w:p>
      <w:pPr>
        <w:pStyle w:val="11"/>
        <w:ind w:firstLine="640"/>
        <w:rPr>
          <w:rFonts w:ascii="仿宋_GB2312" w:eastAsia="仿宋_GB2312"/>
          <w:sz w:val="32"/>
          <w:szCs w:val="32"/>
        </w:rPr>
      </w:pPr>
      <w:r>
        <w:rPr>
          <w:rFonts w:hint="eastAsia" w:ascii="仿宋_GB2312" w:eastAsia="仿宋_GB2312"/>
          <w:sz w:val="32"/>
          <w:szCs w:val="32"/>
        </w:rPr>
        <w:t>二、为本行政协议实施之目的，就日本年金制度相关</w:t>
      </w:r>
      <w:r>
        <w:rPr>
          <w:rFonts w:ascii="仿宋_GB2312" w:eastAsia="仿宋_GB2312"/>
          <w:sz w:val="32"/>
          <w:szCs w:val="32"/>
        </w:rPr>
        <w:t>问题，</w:t>
      </w:r>
      <w:r>
        <w:rPr>
          <w:rFonts w:hint="eastAsia" w:ascii="仿宋_GB2312" w:eastAsia="仿宋_GB2312"/>
          <w:sz w:val="32"/>
          <w:szCs w:val="32"/>
        </w:rPr>
        <w:t>人力资源和社会保障部社会保险事业管理中心可与日本年金机构进行联系。</w:t>
      </w:r>
    </w:p>
    <w:p>
      <w:pPr>
        <w:pStyle w:val="11"/>
        <w:ind w:firstLineChars="0"/>
        <w:rPr>
          <w:rFonts w:ascii="仿宋_GB2312" w:eastAsia="仿宋_GB2312"/>
          <w:sz w:val="32"/>
          <w:szCs w:val="32"/>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参保证明</w:t>
      </w:r>
    </w:p>
    <w:p>
      <w:pPr>
        <w:jc w:val="center"/>
        <w:rPr>
          <w:rFonts w:ascii="仿宋_GB2312" w:hAnsi="仿宋_GB2312" w:eastAsia="仿宋_GB2312"/>
          <w:b/>
          <w:bCs/>
          <w:sz w:val="32"/>
          <w:szCs w:val="32"/>
        </w:rPr>
      </w:pPr>
    </w:p>
    <w:p>
      <w:pPr>
        <w:pStyle w:val="11"/>
        <w:ind w:firstLine="640"/>
        <w:rPr>
          <w:rFonts w:ascii="仿宋_GB2312" w:eastAsia="仿宋_GB2312"/>
          <w:sz w:val="32"/>
          <w:szCs w:val="32"/>
        </w:rPr>
      </w:pPr>
      <w:r>
        <w:rPr>
          <w:rFonts w:hint="eastAsia" w:ascii="仿宋_GB2312" w:eastAsia="仿宋_GB2312"/>
          <w:sz w:val="32"/>
          <w:szCs w:val="32"/>
        </w:rPr>
        <w:t>一、在协定第六条、第七条、第八条第二款或第九条所述情况下，法律规定适用的缔约一方联络机构将依据协定第十三条出具参保证明，并注明有效期限。相关雇员可</w:t>
      </w:r>
      <w:r>
        <w:rPr>
          <w:rFonts w:ascii="仿宋_GB2312" w:eastAsia="仿宋_GB2312"/>
          <w:sz w:val="32"/>
          <w:szCs w:val="32"/>
        </w:rPr>
        <w:t>持</w:t>
      </w:r>
      <w:r>
        <w:rPr>
          <w:rFonts w:hint="eastAsia" w:ascii="仿宋_GB2312" w:eastAsia="仿宋_GB2312"/>
          <w:sz w:val="32"/>
          <w:szCs w:val="32"/>
        </w:rPr>
        <w:t>该参保证明免除</w:t>
      </w:r>
      <w:r>
        <w:rPr>
          <w:rFonts w:ascii="仿宋_GB2312" w:eastAsia="仿宋_GB2312"/>
          <w:sz w:val="32"/>
          <w:szCs w:val="32"/>
        </w:rPr>
        <w:t>在</w:t>
      </w:r>
      <w:r>
        <w:rPr>
          <w:rFonts w:hint="eastAsia" w:ascii="仿宋_GB2312" w:eastAsia="仿宋_GB2312"/>
          <w:sz w:val="32"/>
          <w:szCs w:val="32"/>
        </w:rPr>
        <w:t>缔约另一国强制参保的</w:t>
      </w:r>
      <w:r>
        <w:rPr>
          <w:rFonts w:ascii="仿宋_GB2312" w:eastAsia="仿宋_GB2312"/>
          <w:sz w:val="32"/>
          <w:szCs w:val="32"/>
        </w:rPr>
        <w:t>义务</w:t>
      </w:r>
      <w:r>
        <w:rPr>
          <w:rFonts w:hint="eastAsia" w:ascii="仿宋_GB2312" w:eastAsia="仿宋_GB2312"/>
          <w:sz w:val="32"/>
          <w:szCs w:val="32"/>
        </w:rPr>
        <w:t>。</w:t>
      </w:r>
    </w:p>
    <w:p>
      <w:pPr>
        <w:pStyle w:val="11"/>
        <w:ind w:firstLine="640"/>
        <w:rPr>
          <w:rFonts w:ascii="仿宋_GB2312" w:eastAsia="仿宋_GB2312"/>
          <w:sz w:val="32"/>
          <w:szCs w:val="32"/>
        </w:rPr>
      </w:pPr>
      <w:r>
        <w:rPr>
          <w:rFonts w:hint="eastAsia" w:ascii="仿宋_GB2312" w:eastAsia="仿宋_GB2312"/>
          <w:sz w:val="32"/>
          <w:szCs w:val="32"/>
        </w:rPr>
        <w:t>二、经缔约双方联络机构同意，本条第一款中所提及的出具参保</w:t>
      </w:r>
      <w:r>
        <w:rPr>
          <w:rFonts w:ascii="仿宋_GB2312" w:eastAsia="仿宋_GB2312"/>
          <w:sz w:val="32"/>
          <w:szCs w:val="32"/>
        </w:rPr>
        <w:t>证明</w:t>
      </w:r>
      <w:r>
        <w:rPr>
          <w:rFonts w:hint="eastAsia" w:ascii="仿宋_GB2312" w:eastAsia="仿宋_GB2312"/>
          <w:sz w:val="32"/>
          <w:szCs w:val="32"/>
        </w:rPr>
        <w:t>的缔约一方联络机构将应缔约另一方联络机构要求，将所</w:t>
      </w:r>
      <w:r>
        <w:rPr>
          <w:rFonts w:ascii="仿宋_GB2312" w:eastAsia="仿宋_GB2312"/>
          <w:sz w:val="32"/>
          <w:szCs w:val="32"/>
        </w:rPr>
        <w:t>出具</w:t>
      </w:r>
      <w:r>
        <w:rPr>
          <w:rFonts w:hint="eastAsia" w:ascii="仿宋_GB2312" w:eastAsia="仿宋_GB2312"/>
          <w:sz w:val="32"/>
          <w:szCs w:val="32"/>
        </w:rPr>
        <w:t>的参保证明的副本或包含的</w:t>
      </w:r>
      <w:r>
        <w:rPr>
          <w:rFonts w:ascii="仿宋_GB2312" w:eastAsia="仿宋_GB2312"/>
          <w:sz w:val="32"/>
          <w:szCs w:val="32"/>
        </w:rPr>
        <w:t>信息</w:t>
      </w:r>
      <w:r>
        <w:rPr>
          <w:rFonts w:hint="eastAsia" w:ascii="仿宋_GB2312" w:eastAsia="仿宋_GB2312"/>
          <w:sz w:val="32"/>
          <w:szCs w:val="32"/>
        </w:rPr>
        <w:t>提供给缔约另一方联络机构。</w:t>
      </w:r>
    </w:p>
    <w:p>
      <w:pPr>
        <w:pStyle w:val="11"/>
        <w:ind w:firstLine="640"/>
        <w:rPr>
          <w:rFonts w:ascii="仿宋_GB2312" w:eastAsia="仿宋_GB2312"/>
          <w:sz w:val="32"/>
          <w:szCs w:val="32"/>
        </w:rPr>
      </w:pPr>
    </w:p>
    <w:p>
      <w:pPr>
        <w:pStyle w:val="11"/>
        <w:ind w:firstLine="640"/>
        <w:rPr>
          <w:rFonts w:ascii="仿宋_GB2312" w:eastAsia="仿宋_GB2312"/>
          <w:sz w:val="32"/>
          <w:szCs w:val="32"/>
        </w:rPr>
      </w:pPr>
      <w:r>
        <w:rPr>
          <w:rFonts w:hint="eastAsia" w:ascii="仿宋_GB2312" w:eastAsia="仿宋_GB2312"/>
          <w:sz w:val="32"/>
          <w:szCs w:val="32"/>
        </w:rPr>
        <w:t>三、依据协定第六条第二款，如需延长免除雇员在其工作地所在缔约一方的法律义务，则此延长免除期限原则上不超过五年。</w:t>
      </w:r>
    </w:p>
    <w:p>
      <w:pPr>
        <w:pStyle w:val="11"/>
        <w:ind w:firstLine="640"/>
        <w:rPr>
          <w:rFonts w:ascii="仿宋_GB2312" w:eastAsia="仿宋_GB2312"/>
          <w:sz w:val="32"/>
          <w:szCs w:val="32"/>
        </w:rPr>
      </w:pPr>
      <w:r>
        <w:rPr>
          <w:rFonts w:hint="eastAsia" w:ascii="仿宋_GB2312" w:eastAsia="仿宋_GB2312"/>
          <w:sz w:val="32"/>
          <w:szCs w:val="32"/>
        </w:rPr>
        <w:t>四、在免除期限超过十年的特殊情形下，可以依据协定第九条给予最后一次延长。最后一次延长的期限和条件将由缔约双方主管机关或经办机构经过协商共同决定。</w:t>
      </w:r>
    </w:p>
    <w:p>
      <w:pPr>
        <w:pStyle w:val="11"/>
        <w:ind w:firstLineChars="0"/>
        <w:rPr>
          <w:rFonts w:ascii="仿宋_GB2312" w:eastAsia="仿宋_GB2312"/>
          <w:sz w:val="32"/>
          <w:szCs w:val="32"/>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申请程序</w:t>
      </w:r>
    </w:p>
    <w:p>
      <w:pPr>
        <w:jc w:val="center"/>
        <w:rPr>
          <w:rFonts w:ascii="仿宋_GB2312" w:hAnsi="仿宋_GB2312" w:eastAsia="仿宋_GB2312"/>
          <w:b/>
          <w:bCs/>
          <w:sz w:val="32"/>
          <w:szCs w:val="32"/>
        </w:rPr>
      </w:pPr>
    </w:p>
    <w:p>
      <w:pPr>
        <w:pStyle w:val="11"/>
        <w:ind w:firstLine="640"/>
        <w:rPr>
          <w:rFonts w:ascii="仿宋_GB2312" w:eastAsia="仿宋_GB2312"/>
          <w:sz w:val="32"/>
          <w:szCs w:val="32"/>
        </w:rPr>
      </w:pPr>
      <w:r>
        <w:rPr>
          <w:rFonts w:hint="eastAsia" w:ascii="仿宋_GB2312" w:eastAsia="仿宋_GB2312"/>
          <w:sz w:val="32"/>
          <w:szCs w:val="32"/>
        </w:rPr>
        <w:t>一、首次免除期限申请程序</w:t>
      </w:r>
    </w:p>
    <w:p>
      <w:pPr>
        <w:pStyle w:val="11"/>
        <w:ind w:firstLine="640"/>
        <w:rPr>
          <w:rFonts w:ascii="仿宋_GB2312" w:eastAsia="仿宋_GB2312"/>
          <w:sz w:val="32"/>
          <w:szCs w:val="32"/>
        </w:rPr>
      </w:pPr>
      <w:r>
        <w:rPr>
          <w:rFonts w:hint="eastAsia" w:ascii="仿宋_GB2312" w:eastAsia="仿宋_GB2312"/>
          <w:sz w:val="32"/>
          <w:szCs w:val="32"/>
        </w:rPr>
        <w:t>依据协定第六条第一款的首次免除期限申请程序由缔约一方经办机构或联络机构依据该缔约方的法律规定执行。</w:t>
      </w:r>
    </w:p>
    <w:p>
      <w:pPr>
        <w:pStyle w:val="11"/>
        <w:ind w:firstLine="640"/>
        <w:rPr>
          <w:rFonts w:ascii="仿宋_GB2312" w:eastAsia="仿宋_GB2312"/>
          <w:sz w:val="32"/>
          <w:szCs w:val="32"/>
        </w:rPr>
      </w:pPr>
      <w:r>
        <w:rPr>
          <w:rFonts w:hint="eastAsia" w:ascii="仿宋_GB2312" w:eastAsia="仿宋_GB2312"/>
          <w:sz w:val="32"/>
          <w:szCs w:val="32"/>
        </w:rPr>
        <w:t>二、依据协定第六条第二款延长免除期限的</w:t>
      </w:r>
      <w:r>
        <w:rPr>
          <w:rFonts w:ascii="仿宋_GB2312" w:eastAsia="仿宋_GB2312"/>
          <w:sz w:val="32"/>
          <w:szCs w:val="32"/>
        </w:rPr>
        <w:t>申请程序</w:t>
      </w:r>
      <w:r>
        <w:rPr>
          <w:rFonts w:hint="eastAsia" w:ascii="仿宋_GB2312" w:eastAsia="仿宋_GB2312"/>
          <w:sz w:val="32"/>
          <w:szCs w:val="32"/>
        </w:rPr>
        <w:t>和第九条例外的申请程序</w:t>
      </w:r>
    </w:p>
    <w:p>
      <w:pPr>
        <w:pStyle w:val="11"/>
        <w:ind w:firstLine="640"/>
        <w:rPr>
          <w:rFonts w:ascii="仿宋_GB2312" w:eastAsia="仿宋_GB2312"/>
          <w:sz w:val="32"/>
          <w:szCs w:val="32"/>
        </w:rPr>
      </w:pPr>
      <w:r>
        <w:rPr>
          <w:rFonts w:hint="eastAsia" w:ascii="仿宋_GB2312" w:eastAsia="仿宋_GB2312"/>
          <w:sz w:val="32"/>
          <w:szCs w:val="32"/>
        </w:rPr>
        <w:t>发起申请</w:t>
      </w:r>
      <w:r>
        <w:rPr>
          <w:rFonts w:ascii="仿宋_GB2312" w:eastAsia="仿宋_GB2312"/>
          <w:sz w:val="32"/>
          <w:szCs w:val="32"/>
        </w:rPr>
        <w:t>程序</w:t>
      </w:r>
      <w:r>
        <w:rPr>
          <w:rFonts w:hint="eastAsia" w:ascii="仿宋_GB2312" w:eastAsia="仿宋_GB2312"/>
          <w:sz w:val="32"/>
          <w:szCs w:val="32"/>
        </w:rPr>
        <w:t>的缔约一方经办机构或联络机构将把相关信息提供给缔约另一方经办机构或联络机构。首先</w:t>
      </w:r>
      <w:r>
        <w:rPr>
          <w:rFonts w:ascii="仿宋_GB2312" w:eastAsia="仿宋_GB2312"/>
          <w:sz w:val="32"/>
          <w:szCs w:val="32"/>
        </w:rPr>
        <w:t>提及的</w:t>
      </w:r>
      <w:r>
        <w:rPr>
          <w:rFonts w:hint="eastAsia" w:ascii="仿宋_GB2312" w:eastAsia="仿宋_GB2312"/>
          <w:sz w:val="32"/>
          <w:szCs w:val="32"/>
        </w:rPr>
        <w:t>缔约一方联络机构将依据缔约双方主管机关或经办机构的共同决定向雇员出具参保证明。</w:t>
      </w:r>
    </w:p>
    <w:p>
      <w:pPr>
        <w:pStyle w:val="11"/>
        <w:ind w:firstLineChars="0"/>
        <w:rPr>
          <w:rFonts w:ascii="仿宋_GB2312" w:eastAsia="仿宋_GB2312"/>
          <w:sz w:val="32"/>
          <w:szCs w:val="32"/>
        </w:rPr>
      </w:pPr>
    </w:p>
    <w:p>
      <w:pPr>
        <w:pStyle w:val="11"/>
        <w:ind w:firstLineChars="0"/>
        <w:rPr>
          <w:rFonts w:ascii="仿宋_GB2312" w:eastAsia="仿宋_GB2312"/>
          <w:sz w:val="32"/>
          <w:szCs w:val="32"/>
        </w:rPr>
      </w:pPr>
    </w:p>
    <w:p>
      <w:pPr>
        <w:pStyle w:val="11"/>
        <w:ind w:firstLineChars="0"/>
        <w:rPr>
          <w:rFonts w:ascii="仿宋_GB2312" w:eastAsia="仿宋_GB2312"/>
          <w:sz w:val="32"/>
          <w:szCs w:val="32"/>
        </w:rPr>
      </w:pPr>
    </w:p>
    <w:p>
      <w:pPr>
        <w:pStyle w:val="11"/>
        <w:ind w:firstLineChars="0"/>
        <w:rPr>
          <w:rFonts w:ascii="仿宋_GB2312" w:eastAsia="仿宋_GB2312"/>
          <w:sz w:val="32"/>
          <w:szCs w:val="32"/>
        </w:rPr>
      </w:pPr>
    </w:p>
    <w:p>
      <w:pPr>
        <w:ind w:firstLine="2088" w:firstLineChars="65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表格和具体程序</w:t>
      </w:r>
    </w:p>
    <w:p>
      <w:pPr>
        <w:jc w:val="center"/>
        <w:rPr>
          <w:rFonts w:ascii="仿宋_GB2312" w:hAnsi="仿宋_GB2312" w:eastAsia="仿宋_GB2312"/>
          <w:bCs/>
          <w:sz w:val="32"/>
          <w:szCs w:val="32"/>
        </w:rPr>
      </w:pPr>
    </w:p>
    <w:p>
      <w:pPr>
        <w:pStyle w:val="11"/>
        <w:ind w:firstLine="640"/>
        <w:rPr>
          <w:rFonts w:ascii="仿宋_GB2312" w:eastAsia="仿宋_GB2312"/>
          <w:sz w:val="32"/>
          <w:szCs w:val="32"/>
        </w:rPr>
      </w:pPr>
      <w:r>
        <w:rPr>
          <w:rFonts w:hint="eastAsia" w:ascii="仿宋_GB2312" w:eastAsia="仿宋_GB2312"/>
          <w:sz w:val="32"/>
          <w:szCs w:val="32"/>
        </w:rPr>
        <w:t>一、缔约双方联络机构将在主管机关</w:t>
      </w:r>
      <w:r>
        <w:rPr>
          <w:rFonts w:ascii="仿宋_GB2312" w:eastAsia="仿宋_GB2312"/>
          <w:sz w:val="32"/>
          <w:szCs w:val="32"/>
        </w:rPr>
        <w:t>的协助下</w:t>
      </w:r>
      <w:r>
        <w:rPr>
          <w:rFonts w:hint="eastAsia" w:ascii="仿宋_GB2312" w:eastAsia="仿宋_GB2312"/>
          <w:sz w:val="32"/>
          <w:szCs w:val="32"/>
        </w:rPr>
        <w:t>共同决定关于执行协定的必要表格和具体程序。</w:t>
      </w:r>
    </w:p>
    <w:p>
      <w:pPr>
        <w:pStyle w:val="11"/>
        <w:ind w:firstLine="640"/>
        <w:rPr>
          <w:rFonts w:ascii="仿宋_GB2312" w:eastAsia="仿宋_GB2312"/>
          <w:sz w:val="32"/>
          <w:szCs w:val="32"/>
        </w:rPr>
      </w:pPr>
      <w:r>
        <w:rPr>
          <w:rFonts w:hint="eastAsia" w:ascii="仿宋_GB2312" w:eastAsia="仿宋_GB2312"/>
          <w:sz w:val="32"/>
          <w:szCs w:val="32"/>
        </w:rPr>
        <w:t>二、本行政协议所附的表格是本协议不可分割的一部分。表格的变更不影响本行政协议的效力。如有需要，缔约双方联络机构将及时共同决定表格</w:t>
      </w:r>
      <w:r>
        <w:rPr>
          <w:rFonts w:ascii="仿宋_GB2312" w:eastAsia="仿宋_GB2312"/>
          <w:sz w:val="32"/>
          <w:szCs w:val="32"/>
        </w:rPr>
        <w:t>的变更</w:t>
      </w:r>
      <w:r>
        <w:rPr>
          <w:rFonts w:hint="eastAsia" w:ascii="仿宋_GB2312" w:eastAsia="仿宋_GB2312"/>
          <w:sz w:val="32"/>
          <w:szCs w:val="32"/>
        </w:rPr>
        <w:t>。</w:t>
      </w:r>
    </w:p>
    <w:p>
      <w:pPr>
        <w:pStyle w:val="11"/>
        <w:ind w:firstLineChars="0"/>
        <w:rPr>
          <w:rFonts w:ascii="仿宋_GB2312" w:eastAsia="仿宋_GB2312"/>
          <w:sz w:val="32"/>
          <w:szCs w:val="32"/>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第六条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统计数据交换</w:t>
      </w:r>
    </w:p>
    <w:p>
      <w:pPr>
        <w:jc w:val="center"/>
        <w:rPr>
          <w:rFonts w:ascii="仿宋_GB2312" w:hAnsi="仿宋_GB2312" w:eastAsia="仿宋_GB2312"/>
          <w:b/>
          <w:bCs/>
          <w:sz w:val="32"/>
          <w:szCs w:val="32"/>
        </w:rPr>
      </w:pPr>
    </w:p>
    <w:p>
      <w:pPr>
        <w:pStyle w:val="11"/>
        <w:ind w:firstLine="640"/>
        <w:rPr>
          <w:rFonts w:ascii="仿宋_GB2312" w:eastAsia="仿宋_GB2312"/>
          <w:sz w:val="32"/>
          <w:szCs w:val="32"/>
        </w:rPr>
      </w:pPr>
      <w:r>
        <w:rPr>
          <w:rFonts w:hint="eastAsia" w:ascii="仿宋_GB2312" w:eastAsia="仿宋_GB2312"/>
          <w:sz w:val="32"/>
          <w:szCs w:val="32"/>
        </w:rPr>
        <w:t>缔约双方联络机构将每年</w:t>
      </w:r>
      <w:r>
        <w:rPr>
          <w:rFonts w:hint="eastAsia" w:ascii="仿宋_GB2312" w:hAnsi="仿宋_GB2312" w:eastAsia="仿宋_GB2312"/>
          <w:sz w:val="32"/>
          <w:szCs w:val="32"/>
        </w:rPr>
        <w:t>相互交换依据本行政协议第三条第一款出具的参保证明份数的统计数据。统计数据应当按照缔约双方联络机构约定的格式提供。</w:t>
      </w:r>
    </w:p>
    <w:p>
      <w:pPr>
        <w:pStyle w:val="11"/>
        <w:ind w:firstLineChars="0"/>
        <w:rPr>
          <w:rFonts w:ascii="仿宋_GB2312" w:eastAsia="仿宋_GB2312"/>
          <w:sz w:val="32"/>
          <w:szCs w:val="32"/>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行政协助</w:t>
      </w:r>
    </w:p>
    <w:p>
      <w:pPr>
        <w:jc w:val="center"/>
        <w:rPr>
          <w:rFonts w:ascii="仿宋_GB2312" w:hAnsi="仿宋_GB2312" w:eastAsia="仿宋_GB2312"/>
          <w:b/>
          <w:bCs/>
          <w:sz w:val="32"/>
          <w:szCs w:val="32"/>
        </w:rPr>
      </w:pPr>
    </w:p>
    <w:p>
      <w:pPr>
        <w:pStyle w:val="11"/>
        <w:ind w:firstLine="640"/>
        <w:rPr>
          <w:rFonts w:ascii="仿宋_GB2312" w:hAnsi="仿宋_GB2312" w:eastAsia="仿宋_GB2312"/>
          <w:sz w:val="32"/>
          <w:szCs w:val="32"/>
        </w:rPr>
      </w:pPr>
      <w:r>
        <w:rPr>
          <w:rFonts w:hint="eastAsia" w:ascii="仿宋_GB2312" w:hAnsi="仿宋_GB2312" w:eastAsia="仿宋_GB2312"/>
          <w:sz w:val="32"/>
          <w:szCs w:val="32"/>
        </w:rPr>
        <w:t>一、为实施协定和本行政协议所必需的行政协助应当免费提供，但缔约双方主管机关和经办机构达成共识的情形除外。</w:t>
      </w:r>
    </w:p>
    <w:p>
      <w:pPr>
        <w:pStyle w:val="11"/>
        <w:ind w:firstLine="640"/>
        <w:rPr>
          <w:rFonts w:ascii="仿宋_GB2312" w:hAnsi="仿宋_GB2312" w:eastAsia="仿宋_GB2312"/>
          <w:sz w:val="32"/>
          <w:szCs w:val="32"/>
        </w:rPr>
      </w:pPr>
      <w:r>
        <w:rPr>
          <w:rFonts w:hint="eastAsia" w:ascii="仿宋_GB2312" w:hAnsi="仿宋_GB2312" w:eastAsia="仿宋_GB2312"/>
          <w:sz w:val="32"/>
          <w:szCs w:val="32"/>
        </w:rPr>
        <w:t>二、缔约双方主管机关和经办机构代表将在必要时在约定的地点会面，讨论协定实施相关问题。</w:t>
      </w:r>
    </w:p>
    <w:p>
      <w:pPr>
        <w:pStyle w:val="11"/>
        <w:ind w:firstLineChars="0"/>
        <w:rPr>
          <w:rFonts w:ascii="仿宋_GB2312" w:hAnsi="仿宋_GB2312" w:eastAsia="仿宋_GB2312"/>
          <w:sz w:val="32"/>
          <w:szCs w:val="32"/>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生效、终止、补充与修改</w:t>
      </w:r>
    </w:p>
    <w:p>
      <w:pPr>
        <w:jc w:val="center"/>
        <w:rPr>
          <w:rFonts w:ascii="仿宋_GB2312" w:hAnsi="仿宋_GB2312" w:eastAsia="仿宋_GB2312" w:cs="仿宋_GB2312"/>
          <w:b/>
          <w:bCs/>
          <w:sz w:val="32"/>
          <w:szCs w:val="32"/>
        </w:rPr>
      </w:pPr>
    </w:p>
    <w:p>
      <w:pPr>
        <w:pStyle w:val="11"/>
        <w:ind w:firstLine="640"/>
        <w:rPr>
          <w:rFonts w:ascii="仿宋_GB2312" w:hAnsi="仿宋_GB2312" w:eastAsia="仿宋_GB2312"/>
          <w:sz w:val="32"/>
          <w:szCs w:val="32"/>
        </w:rPr>
      </w:pPr>
      <w:r>
        <w:rPr>
          <w:rFonts w:hint="eastAsia" w:ascii="仿宋_GB2312" w:hAnsi="仿宋_GB2312" w:eastAsia="仿宋_GB2312"/>
          <w:sz w:val="32"/>
          <w:szCs w:val="32"/>
        </w:rPr>
        <w:t>一、本行政协议于协定生效之日生效，直至协定终止之日。</w:t>
      </w:r>
    </w:p>
    <w:p>
      <w:pPr>
        <w:pStyle w:val="11"/>
        <w:ind w:firstLine="640"/>
        <w:rPr>
          <w:rFonts w:ascii="仿宋_GB2312" w:hAnsi="仿宋_GB2312" w:eastAsia="仿宋_GB2312"/>
          <w:sz w:val="32"/>
          <w:szCs w:val="32"/>
        </w:rPr>
      </w:pPr>
      <w:r>
        <w:rPr>
          <w:rFonts w:hint="eastAsia" w:ascii="仿宋_GB2312" w:hAnsi="仿宋_GB2312" w:eastAsia="仿宋_GB2312"/>
          <w:sz w:val="32"/>
          <w:szCs w:val="32"/>
        </w:rPr>
        <w:t>二、经缔约双方主管机关同意，本行政协议可补充或修改。但是，如果联络机构名称更改，主管机关应书面通知对方，无需修改此行政协议。</w:t>
      </w:r>
    </w:p>
    <w:p>
      <w:pPr>
        <w:pStyle w:val="11"/>
        <w:ind w:firstLineChars="0"/>
        <w:rPr>
          <w:rFonts w:ascii="仿宋_GB2312" w:hAnsi="仿宋_GB2312" w:eastAsia="仿宋_GB2312"/>
          <w:sz w:val="32"/>
          <w:szCs w:val="32"/>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第九条</w:t>
      </w:r>
      <w:r>
        <w:rPr>
          <w:rFonts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rPr>
        <w:t>法律义务</w:t>
      </w:r>
    </w:p>
    <w:p>
      <w:pPr>
        <w:jc w:val="center"/>
        <w:rPr>
          <w:rFonts w:ascii="仿宋_GB2312" w:hAnsi="仿宋_GB2312" w:eastAsia="仿宋_GB2312"/>
          <w:b/>
          <w:bCs/>
          <w:sz w:val="32"/>
          <w:szCs w:val="32"/>
        </w:rPr>
      </w:pPr>
    </w:p>
    <w:p>
      <w:pPr>
        <w:pStyle w:val="11"/>
        <w:ind w:firstLine="640"/>
        <w:rPr>
          <w:rFonts w:ascii="仿宋_GB2312" w:hAnsi="仿宋_GB2312" w:eastAsia="仿宋_GB2312"/>
          <w:sz w:val="32"/>
          <w:szCs w:val="32"/>
        </w:rPr>
      </w:pPr>
      <w:r>
        <w:rPr>
          <w:rFonts w:hint="eastAsia" w:ascii="仿宋_GB2312" w:hAnsi="仿宋_GB2312" w:eastAsia="仿宋_GB2312"/>
          <w:sz w:val="32"/>
          <w:szCs w:val="32"/>
        </w:rPr>
        <w:t>本行政协议只在协定及缔约双方各自法律规定框架内执行，不产生协定及缔约双方各自法律规定的框架以外的任何有法律约束力的新义务。</w:t>
      </w:r>
    </w:p>
    <w:p>
      <w:pPr>
        <w:pStyle w:val="11"/>
        <w:ind w:firstLine="640"/>
        <w:rPr>
          <w:rFonts w:ascii="仿宋_GB2312" w:hAnsi="仿宋_GB2312" w:eastAsia="仿宋_GB2312"/>
          <w:sz w:val="32"/>
          <w:szCs w:val="32"/>
        </w:rPr>
      </w:pPr>
    </w:p>
    <w:p>
      <w:pPr>
        <w:pStyle w:val="11"/>
        <w:ind w:firstLine="640"/>
        <w:rPr>
          <w:rFonts w:ascii="仿宋_GB2312" w:hAnsi="仿宋_GB2312" w:eastAsia="仿宋_GB2312"/>
          <w:sz w:val="32"/>
          <w:szCs w:val="32"/>
        </w:rPr>
      </w:pPr>
    </w:p>
    <w:p>
      <w:pPr>
        <w:pStyle w:val="9"/>
        <w:spacing w:line="240" w:lineRule="auto"/>
        <w:ind w:firstLine="640" w:firstLineChars="200"/>
        <w:rPr>
          <w:rFonts w:ascii="仿宋_GB2312" w:hAnsi="仿宋_GB2312" w:eastAsia="仿宋_GB2312" w:cs="Times New Roman"/>
          <w:color w:val="auto"/>
          <w:sz w:val="32"/>
          <w:szCs w:val="32"/>
          <w:lang w:eastAsia="zh-CN"/>
        </w:rPr>
      </w:pPr>
      <w:r>
        <w:rPr>
          <w:rFonts w:hint="eastAsia" w:ascii="仿宋_GB2312" w:hAnsi="仿宋_GB2312" w:eastAsia="仿宋_GB2312" w:cs="Times New Roman"/>
          <w:color w:val="auto"/>
          <w:sz w:val="32"/>
          <w:szCs w:val="32"/>
          <w:lang w:eastAsia="zh-CN"/>
        </w:rPr>
        <w:t>本行政协议于    年    月    日签署，一式两份，每份均用中文、日文和英文写成，三种文本同等作准。如果对文本的解释产生任何歧义，以英文本为准。</w:t>
      </w:r>
    </w:p>
    <w:p>
      <w:pPr>
        <w:pStyle w:val="11"/>
        <w:ind w:firstLine="0" w:firstLineChars="0"/>
        <w:rPr>
          <w:rFonts w:ascii="仿宋_GB2312" w:hAnsi="仿宋_GB2312" w:eastAsia="仿宋_GB2312"/>
          <w:sz w:val="32"/>
          <w:szCs w:val="32"/>
        </w:rPr>
      </w:pPr>
    </w:p>
    <w:p>
      <w:pPr>
        <w:pStyle w:val="11"/>
        <w:ind w:firstLine="0" w:firstLineChars="0"/>
        <w:rPr>
          <w:rFonts w:ascii="仿宋_GB2312" w:hAnsi="仿宋_GB2312" w:eastAsia="仿宋_GB2312"/>
          <w:sz w:val="32"/>
          <w:szCs w:val="32"/>
        </w:rPr>
      </w:pPr>
    </w:p>
    <w:p>
      <w:pPr>
        <w:pStyle w:val="11"/>
        <w:ind w:firstLine="0" w:firstLineChars="0"/>
        <w:rPr>
          <w:rFonts w:ascii="仿宋_GB2312" w:hAnsi="仿宋_GB2312" w:eastAsia="仿宋_GB2312"/>
          <w:sz w:val="32"/>
          <w:szCs w:val="32"/>
        </w:rPr>
      </w:pPr>
    </w:p>
    <w:p>
      <w:pPr>
        <w:pStyle w:val="11"/>
        <w:ind w:firstLine="0" w:firstLineChars="0"/>
        <w:rPr>
          <w:rFonts w:ascii="仿宋_GB2312" w:hAnsi="仿宋_GB2312" w:eastAsia="仿宋_GB2312"/>
          <w:sz w:val="32"/>
          <w:szCs w:val="32"/>
        </w:rPr>
      </w:pPr>
    </w:p>
    <w:tbl>
      <w:tblPr>
        <w:tblStyle w:val="6"/>
        <w:tblW w:w="9365" w:type="dxa"/>
        <w:jc w:val="center"/>
        <w:tblInd w:w="0" w:type="dxa"/>
        <w:tblLayout w:type="fixed"/>
        <w:tblCellMar>
          <w:top w:w="0" w:type="dxa"/>
          <w:left w:w="108" w:type="dxa"/>
          <w:bottom w:w="0" w:type="dxa"/>
          <w:right w:w="108" w:type="dxa"/>
        </w:tblCellMar>
      </w:tblPr>
      <w:tblGrid>
        <w:gridCol w:w="5160"/>
        <w:gridCol w:w="4205"/>
      </w:tblGrid>
      <w:tr>
        <w:tblPrEx>
          <w:tblLayout w:type="fixed"/>
          <w:tblCellMar>
            <w:top w:w="0" w:type="dxa"/>
            <w:left w:w="108" w:type="dxa"/>
            <w:bottom w:w="0" w:type="dxa"/>
            <w:right w:w="108" w:type="dxa"/>
          </w:tblCellMar>
        </w:tblPrEx>
        <w:trPr>
          <w:trHeight w:val="2468" w:hRule="atLeast"/>
          <w:jc w:val="center"/>
        </w:trPr>
        <w:tc>
          <w:tcPr>
            <w:tcW w:w="5160" w:type="dxa"/>
          </w:tcPr>
          <w:p>
            <w:pPr>
              <w:pStyle w:val="9"/>
              <w:widowControl/>
              <w:spacing w:line="240" w:lineRule="auto"/>
              <w:jc w:val="center"/>
              <w:rPr>
                <w:rFonts w:ascii="仿宋_GB2312" w:hAnsi="Times New Roman" w:eastAsia="仿宋_GB2312" w:cs="Times New Roman"/>
                <w:b/>
                <w:iCs/>
                <w:color w:val="auto"/>
                <w:sz w:val="32"/>
                <w:szCs w:val="32"/>
                <w:lang w:eastAsia="zh-CN"/>
              </w:rPr>
            </w:pPr>
          </w:p>
          <w:p>
            <w:pPr>
              <w:pStyle w:val="9"/>
              <w:widowControl/>
              <w:spacing w:line="240" w:lineRule="auto"/>
              <w:jc w:val="center"/>
              <w:rPr>
                <w:rFonts w:ascii="仿宋_GB2312" w:hAnsi="Times New Roman" w:eastAsia="仿宋_GB2312" w:cs="Times New Roman"/>
                <w:b/>
                <w:iCs/>
                <w:color w:val="auto"/>
                <w:sz w:val="32"/>
                <w:szCs w:val="32"/>
                <w:lang w:eastAsia="zh-CN"/>
              </w:rPr>
            </w:pPr>
            <w:r>
              <w:rPr>
                <w:rFonts w:hint="eastAsia" w:ascii="仿宋_GB2312" w:hAnsi="Times New Roman" w:eastAsia="仿宋_GB2312" w:cs="Times New Roman"/>
                <w:b/>
                <w:iCs/>
                <w:color w:val="auto"/>
                <w:sz w:val="32"/>
                <w:szCs w:val="32"/>
                <w:lang w:eastAsia="zh-CN"/>
              </w:rPr>
              <w:t>中华人民共和国主管机关代表</w:t>
            </w:r>
          </w:p>
          <w:p>
            <w:pPr>
              <w:pStyle w:val="9"/>
              <w:widowControl/>
              <w:spacing w:line="240" w:lineRule="auto"/>
              <w:jc w:val="center"/>
              <w:rPr>
                <w:rFonts w:ascii="仿宋_GB2312" w:hAnsi="Times New Roman" w:eastAsia="仿宋_GB2312" w:cs="Times New Roman"/>
                <w:b/>
                <w:iCs/>
                <w:color w:val="auto"/>
                <w:sz w:val="11"/>
                <w:szCs w:val="11"/>
                <w:lang w:eastAsia="zh-CN"/>
              </w:rPr>
            </w:pPr>
          </w:p>
          <w:p>
            <w:pPr>
              <w:pStyle w:val="9"/>
              <w:widowControl/>
              <w:spacing w:line="240" w:lineRule="auto"/>
              <w:jc w:val="center"/>
              <w:rPr>
                <w:rFonts w:ascii="仿宋_GB2312" w:hAnsi="Times New Roman" w:eastAsia="仿宋_GB2312" w:cs="Times New Roman"/>
                <w:b/>
                <w:iCs/>
                <w:color w:val="auto"/>
                <w:sz w:val="11"/>
                <w:szCs w:val="11"/>
                <w:lang w:eastAsia="zh-CN"/>
              </w:rPr>
            </w:pPr>
          </w:p>
          <w:p>
            <w:pPr>
              <w:pStyle w:val="9"/>
              <w:widowControl/>
              <w:spacing w:line="240" w:lineRule="auto"/>
              <w:jc w:val="center"/>
              <w:rPr>
                <w:rFonts w:ascii="仿宋_GB2312" w:hAnsi="Times New Roman" w:eastAsia="Malgun Gothic" w:cs="Times New Roman"/>
                <w:b/>
                <w:iCs/>
                <w:color w:val="auto"/>
                <w:sz w:val="32"/>
                <w:szCs w:val="32"/>
              </w:rPr>
            </w:pPr>
            <w:r>
              <w:rPr>
                <w:rFonts w:hint="eastAsia" w:ascii="仿宋_GB2312" w:hAnsi="Times New Roman" w:eastAsia="仿宋_GB2312" w:cs="Times New Roman"/>
                <w:b/>
                <w:iCs/>
                <w:color w:val="auto"/>
                <w:sz w:val="32"/>
                <w:szCs w:val="32"/>
                <w:lang w:eastAsia="zh-CN"/>
              </w:rPr>
              <w:t>人力资源和社会保障部</w:t>
            </w:r>
          </w:p>
          <w:p>
            <w:pPr>
              <w:pStyle w:val="9"/>
              <w:widowControl/>
              <w:spacing w:line="240" w:lineRule="auto"/>
              <w:jc w:val="center"/>
              <w:rPr>
                <w:rFonts w:ascii="仿宋_GB2312" w:hAnsi="Times New Roman" w:eastAsia="Malgun Gothic" w:cs="Times New Roman"/>
                <w:b/>
                <w:iCs/>
                <w:color w:val="auto"/>
                <w:sz w:val="32"/>
                <w:szCs w:val="32"/>
              </w:rPr>
            </w:pPr>
          </w:p>
          <w:p>
            <w:pPr>
              <w:pStyle w:val="9"/>
              <w:widowControl/>
              <w:spacing w:line="240" w:lineRule="auto"/>
              <w:rPr>
                <w:rFonts w:ascii="仿宋_GB2312" w:hAnsi="Times New Roman" w:eastAsia="仿宋_GB2312" w:cs="Times New Roman"/>
                <w:b/>
                <w:iCs/>
                <w:color w:val="auto"/>
                <w:sz w:val="32"/>
                <w:szCs w:val="32"/>
                <w:lang w:eastAsia="zh-CN"/>
              </w:rPr>
            </w:pPr>
          </w:p>
          <w:p>
            <w:pPr>
              <w:pStyle w:val="9"/>
              <w:widowControl/>
              <w:spacing w:line="240" w:lineRule="auto"/>
              <w:rPr>
                <w:rFonts w:ascii="仿宋_GB2312" w:hAnsi="Times New Roman" w:eastAsia="仿宋_GB2312" w:cs="Times New Roman"/>
                <w:b/>
                <w:iCs/>
                <w:color w:val="auto"/>
                <w:sz w:val="32"/>
                <w:szCs w:val="32"/>
                <w:u w:val="single"/>
                <w:lang w:eastAsia="zh-CN"/>
              </w:rPr>
            </w:pPr>
          </w:p>
        </w:tc>
        <w:tc>
          <w:tcPr>
            <w:tcW w:w="4205" w:type="dxa"/>
          </w:tcPr>
          <w:p>
            <w:pPr>
              <w:jc w:val="center"/>
              <w:rPr>
                <w:rFonts w:ascii="仿宋_GB2312" w:eastAsia="仿宋_GB2312"/>
                <w:b/>
                <w:iCs/>
                <w:sz w:val="32"/>
                <w:szCs w:val="32"/>
              </w:rPr>
            </w:pPr>
          </w:p>
          <w:p>
            <w:pPr>
              <w:jc w:val="center"/>
              <w:rPr>
                <w:rFonts w:ascii="仿宋_GB2312" w:eastAsia="仿宋_GB2312"/>
                <w:b/>
                <w:iCs/>
                <w:sz w:val="32"/>
                <w:szCs w:val="32"/>
              </w:rPr>
            </w:pPr>
            <w:r>
              <w:rPr>
                <w:rFonts w:hint="eastAsia" w:ascii="仿宋_GB2312" w:eastAsia="仿宋_GB2312"/>
                <w:b/>
                <w:iCs/>
                <w:sz w:val="32"/>
                <w:szCs w:val="32"/>
              </w:rPr>
              <w:t>日本国主管机关代表</w:t>
            </w:r>
          </w:p>
          <w:p>
            <w:pPr>
              <w:rPr>
                <w:rFonts w:ascii="仿宋_GB2312" w:eastAsia="仿宋_GB2312"/>
                <w:b/>
                <w:iCs/>
                <w:sz w:val="11"/>
                <w:szCs w:val="11"/>
              </w:rPr>
            </w:pPr>
          </w:p>
          <w:p>
            <w:pPr>
              <w:jc w:val="center"/>
              <w:rPr>
                <w:rFonts w:hint="eastAsia" w:ascii="仿宋_GB2312" w:eastAsia="仿宋_GB2312"/>
                <w:b/>
                <w:iCs/>
                <w:sz w:val="32"/>
                <w:szCs w:val="32"/>
              </w:rPr>
            </w:pPr>
            <w:r>
              <w:rPr>
                <w:rFonts w:hint="eastAsia" w:ascii="仿宋_GB2312" w:eastAsia="仿宋_GB2312"/>
                <w:b/>
                <w:iCs/>
                <w:sz w:val="32"/>
                <w:szCs w:val="32"/>
              </w:rPr>
              <w:t>警察厅</w:t>
            </w:r>
          </w:p>
          <w:p>
            <w:pPr>
              <w:pStyle w:val="9"/>
              <w:widowControl/>
              <w:spacing w:line="240" w:lineRule="auto"/>
              <w:jc w:val="center"/>
              <w:rPr>
                <w:rFonts w:ascii="仿宋_GB2312" w:hAnsi="Times New Roman" w:eastAsia="仿宋_GB2312" w:cs="Times New Roman"/>
                <w:b/>
                <w:iCs/>
                <w:color w:val="auto"/>
                <w:sz w:val="11"/>
                <w:szCs w:val="11"/>
                <w:lang w:eastAsia="zh-CN"/>
              </w:rPr>
            </w:pPr>
          </w:p>
          <w:p>
            <w:pPr>
              <w:ind w:firstLine="1497" w:firstLineChars="466"/>
              <w:rPr>
                <w:rFonts w:ascii="仿宋_GB2312" w:eastAsia="仿宋_GB2312"/>
                <w:b/>
                <w:iCs/>
                <w:sz w:val="32"/>
                <w:szCs w:val="32"/>
              </w:rPr>
            </w:pPr>
            <w:r>
              <w:rPr>
                <w:rFonts w:hint="eastAsia" w:ascii="仿宋_GB2312" w:eastAsia="仿宋_GB2312"/>
                <w:b/>
                <w:iCs/>
                <w:sz w:val="32"/>
                <w:szCs w:val="32"/>
              </w:rPr>
              <w:t>总务省</w:t>
            </w:r>
          </w:p>
          <w:p>
            <w:pPr>
              <w:pStyle w:val="9"/>
              <w:widowControl/>
              <w:spacing w:line="240" w:lineRule="auto"/>
              <w:jc w:val="center"/>
              <w:rPr>
                <w:rFonts w:ascii="仿宋_GB2312" w:hAnsi="Times New Roman" w:eastAsia="仿宋_GB2312" w:cs="Times New Roman"/>
                <w:b/>
                <w:iCs/>
                <w:color w:val="auto"/>
                <w:sz w:val="11"/>
                <w:szCs w:val="11"/>
                <w:lang w:eastAsia="zh-CN"/>
              </w:rPr>
            </w:pPr>
          </w:p>
          <w:p>
            <w:pPr>
              <w:jc w:val="center"/>
              <w:rPr>
                <w:rFonts w:ascii="仿宋_GB2312" w:eastAsia="仿宋_GB2312"/>
                <w:b/>
                <w:iCs/>
                <w:sz w:val="32"/>
                <w:szCs w:val="32"/>
              </w:rPr>
            </w:pPr>
            <w:r>
              <w:rPr>
                <w:rFonts w:hint="eastAsia" w:ascii="仿宋_GB2312" w:eastAsia="仿宋_GB2312"/>
                <w:b/>
                <w:iCs/>
                <w:sz w:val="32"/>
                <w:szCs w:val="32"/>
              </w:rPr>
              <w:t>财务省</w:t>
            </w:r>
          </w:p>
          <w:p>
            <w:pPr>
              <w:pStyle w:val="9"/>
              <w:widowControl/>
              <w:spacing w:line="240" w:lineRule="auto"/>
              <w:jc w:val="center"/>
              <w:rPr>
                <w:rFonts w:ascii="仿宋_GB2312" w:hAnsi="Times New Roman" w:eastAsia="仿宋_GB2312" w:cs="Times New Roman"/>
                <w:b/>
                <w:iCs/>
                <w:color w:val="auto"/>
                <w:sz w:val="11"/>
                <w:szCs w:val="11"/>
                <w:lang w:eastAsia="zh-CN"/>
              </w:rPr>
            </w:pPr>
          </w:p>
          <w:p>
            <w:pPr>
              <w:jc w:val="center"/>
              <w:rPr>
                <w:rFonts w:ascii="仿宋_GB2312" w:eastAsia="仿宋_GB2312"/>
                <w:b/>
                <w:iCs/>
                <w:sz w:val="32"/>
                <w:szCs w:val="32"/>
              </w:rPr>
            </w:pPr>
            <w:r>
              <w:rPr>
                <w:rFonts w:hint="eastAsia" w:ascii="仿宋_GB2312" w:eastAsia="仿宋_GB2312"/>
                <w:b/>
                <w:iCs/>
                <w:sz w:val="32"/>
                <w:szCs w:val="32"/>
              </w:rPr>
              <w:t>文部科学省</w:t>
            </w:r>
          </w:p>
          <w:p>
            <w:pPr>
              <w:pStyle w:val="9"/>
              <w:widowControl/>
              <w:spacing w:line="240" w:lineRule="auto"/>
              <w:jc w:val="center"/>
              <w:rPr>
                <w:rFonts w:ascii="仿宋_GB2312" w:hAnsi="Times New Roman" w:eastAsia="仿宋_GB2312" w:cs="Times New Roman"/>
                <w:b/>
                <w:iCs/>
                <w:color w:val="auto"/>
                <w:sz w:val="11"/>
                <w:szCs w:val="11"/>
                <w:lang w:eastAsia="zh-CN"/>
              </w:rPr>
            </w:pPr>
          </w:p>
          <w:p>
            <w:pPr>
              <w:jc w:val="center"/>
              <w:rPr>
                <w:rFonts w:ascii="仿宋_GB2312" w:eastAsia="仿宋_GB2312"/>
                <w:b/>
                <w:iCs/>
                <w:sz w:val="32"/>
                <w:szCs w:val="32"/>
              </w:rPr>
            </w:pPr>
            <w:r>
              <w:rPr>
                <w:rFonts w:hint="eastAsia" w:ascii="仿宋_GB2312" w:eastAsia="仿宋_GB2312"/>
                <w:b/>
                <w:iCs/>
                <w:sz w:val="32"/>
                <w:szCs w:val="32"/>
              </w:rPr>
              <w:t>厚生劳动省</w:t>
            </w:r>
          </w:p>
        </w:tc>
      </w:tr>
    </w:tbl>
    <w:p>
      <w:pPr>
        <w:pStyle w:val="11"/>
        <w:ind w:firstLine="0" w:firstLineChars="0"/>
        <w:rPr>
          <w:rFonts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pStyle w:val="11"/>
        <w:ind w:firstLine="0" w:firstLineChars="0"/>
        <w:rPr>
          <w:rFonts w:ascii="仿宋_GB2312" w:eastAsia="仿宋_GB2312"/>
          <w:sz w:val="32"/>
          <w:szCs w:val="32"/>
        </w:rPr>
        <w:sectPr>
          <w:pgSz w:w="11906" w:h="16838"/>
          <w:pgMar w:top="720" w:right="720" w:bottom="720" w:left="720" w:header="851" w:footer="992" w:gutter="0"/>
          <w:cols w:space="425" w:num="1"/>
          <w:docGrid w:type="linesAndChars" w:linePitch="312" w:charSpace="0"/>
        </w:sectPr>
      </w:pPr>
      <w:r>
        <w:rPr>
          <w:rFonts w:ascii="仿宋_GB2312" w:eastAsia="仿宋_GB2312"/>
          <w:sz w:val="32"/>
          <w:szCs w:val="32"/>
        </w:rPr>
        <w:object>
          <v:shape id="_x0000_i1025" o:spt="75" type="#_x0000_t75" style="height:772.2pt;width:523.2pt;" o:ole="t" filled="f" o:preferrelative="t" stroked="f" coordsize="21600,21600">
            <v:path/>
            <v:fill on="f" focussize="0,0"/>
            <v:stroke on="f" joinstyle="miter"/>
            <v:imagedata r:id="rId6" o:title=""/>
            <o:lock v:ext="edit" aspectratio="t"/>
            <w10:wrap type="none"/>
            <w10:anchorlock/>
          </v:shape>
          <o:OLEObject Type="Embed" ProgID="Word.Document.8" ShapeID="_x0000_i1025" DrawAspect="Content" ObjectID="_1468075725" r:id="rId5">
            <o:LockedField>false</o:LockedField>
          </o:OLEObject>
        </w:object>
      </w:r>
      <w:r>
        <w:rPr>
          <w:rFonts w:ascii="仿宋_GB2312" w:eastAsia="仿宋_GB2312"/>
          <w:sz w:val="32"/>
          <w:szCs w:val="32"/>
        </w:rPr>
        <w:object>
          <v:shape id="_x0000_i1026" o:spt="75" type="#_x0000_t75" style="height:616.2pt;width:523.2pt;" o:ole="t" filled="f" o:preferrelative="t" stroked="f" coordsize="21600,21600">
            <v:path/>
            <v:fill on="f" focussize="0,0"/>
            <v:stroke on="f" joinstyle="miter"/>
            <v:imagedata r:id="rId8" o:title=""/>
            <o:lock v:ext="edit" aspectratio="t"/>
            <w10:wrap type="none"/>
            <w10:anchorlock/>
          </v:shape>
          <o:OLEObject Type="Embed" ProgID="Word.Document.8" ShapeID="_x0000_i1026" DrawAspect="Content" ObjectID="_1468075726" r:id="rId7">
            <o:LockedField>false</o:LockedField>
          </o:OLEObject>
        </w:object>
      </w:r>
    </w:p>
    <w:p>
      <w:pPr>
        <w:pStyle w:val="11"/>
        <w:ind w:firstLine="0" w:firstLineChars="0"/>
        <w:rPr>
          <w:rFonts w:ascii="仿宋_GB2312" w:eastAsia="仿宋_GB2312"/>
          <w:sz w:val="32"/>
          <w:szCs w:val="32"/>
        </w:rPr>
        <w:sectPr>
          <w:pgSz w:w="11906" w:h="16838"/>
          <w:pgMar w:top="720" w:right="567" w:bottom="539" w:left="839" w:header="851" w:footer="992" w:gutter="0"/>
          <w:cols w:space="425" w:num="1"/>
          <w:docGrid w:type="linesAndChars" w:linePitch="312" w:charSpace="0"/>
        </w:sectPr>
      </w:pPr>
      <w:bookmarkStart w:id="0" w:name="_MON_1613805719"/>
      <w:bookmarkEnd w:id="0"/>
      <w:r>
        <w:rPr>
          <w:rFonts w:ascii="仿宋_GB2312" w:eastAsia="仿宋_GB2312"/>
          <w:sz w:val="32"/>
          <w:szCs w:val="32"/>
        </w:rPr>
        <w:object>
          <v:shape id="_x0000_i1027" o:spt="75" type="#_x0000_t75" style="height:735pt;width:529.2pt;" o:ole="t" filled="f" o:preferrelative="t" stroked="f" coordsize="21600,21600">
            <v:path/>
            <v:fill on="f" focussize="0,0"/>
            <v:stroke on="f" joinstyle="miter"/>
            <v:imagedata r:id="rId10" o:title=""/>
            <o:lock v:ext="edit" aspectratio="t"/>
            <w10:wrap type="none"/>
            <w10:anchorlock/>
          </v:shape>
          <o:OLEObject Type="Embed" ProgID="Word.Document.12" ShapeID="_x0000_i1027" DrawAspect="Content" ObjectID="_1468075727" r:id="rId9">
            <o:LockedField>false</o:LockedField>
          </o:OLEObject>
        </w:object>
      </w:r>
      <w:bookmarkStart w:id="1" w:name="_MON_1613806182"/>
      <w:bookmarkEnd w:id="1"/>
      <w:r>
        <w:rPr>
          <w:rFonts w:ascii="仿宋_GB2312" w:eastAsia="仿宋_GB2312"/>
          <w:sz w:val="32"/>
          <w:szCs w:val="32"/>
        </w:rPr>
        <w:object>
          <v:shape id="_x0000_i1028" o:spt="75" type="#_x0000_t75" style="height:603pt;width:528.6pt;" o:ole="t" filled="f" o:preferrelative="t" stroked="f" coordsize="21600,21600">
            <v:path/>
            <v:fill on="f" focussize="0,0"/>
            <v:stroke on="f" joinstyle="miter"/>
            <v:imagedata r:id="rId12" o:title=""/>
            <o:lock v:ext="edit" aspectratio="t"/>
            <w10:wrap type="none"/>
            <w10:anchorlock/>
          </v:shape>
          <o:OLEObject Type="Embed" ProgID="Word.Document.12" ShapeID="_x0000_i1028" DrawAspect="Content" ObjectID="_1468075728" r:id="rId11">
            <o:LockedField>false</o:LockedField>
          </o:OLEObject>
        </w:object>
      </w:r>
    </w:p>
    <w:p>
      <w:pPr>
        <w:widowControl/>
        <w:jc w:val="left"/>
        <w:rPr>
          <w:rFonts w:ascii="仿宋_GB2312" w:hAnsi="Calibri"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EFF" w:usb1="C000247B" w:usb2="00000009" w:usb3="00000000" w:csb0="200001FF" w:csb1="00000000"/>
  </w:font>
  <w:font w:name="Batang">
    <w:altName w:val="Malgun Gothic"/>
    <w:panose1 w:val="02030600000101010101"/>
    <w:charset w:val="81"/>
    <w:family w:val="modern"/>
    <w:pitch w:val="default"/>
    <w:sig w:usb0="00000000" w:usb1="00000000" w:usb2="00000030" w:usb3="00000000" w:csb0="0008009F" w:csb1="00000000"/>
  </w:font>
  <w:font w:name="Gulim">
    <w:altName w:val="Malgun Gothic"/>
    <w:panose1 w:val="020B0600000101010101"/>
    <w:charset w:val="81"/>
    <w:family w:val="decorative"/>
    <w:pitch w:val="default"/>
    <w:sig w:usb0="00000000" w:usb1="00000000" w:usb2="00000030" w:usb3="00000000" w:csb0="0008009F"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algun Gothic">
    <w:panose1 w:val="020B0503020000020004"/>
    <w:charset w:val="81"/>
    <w:family w:val="decorative"/>
    <w:pitch w:val="default"/>
    <w:sig w:usb0="9000002F" w:usb1="29D77CFB" w:usb2="00000012" w:usb3="00000000" w:csb0="00080001"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algun Gothic">
    <w:panose1 w:val="020B0503020000020004"/>
    <w:charset w:val="00"/>
    <w:family w:val="auto"/>
    <w:pitch w:val="default"/>
    <w:sig w:usb0="9000002F" w:usb1="29D77CFB" w:usb2="00000012" w:usb3="00000000" w:csb0="00080001" w:csb1="00000000"/>
  </w:font>
  <w:font w:name="Malgun Gothic">
    <w:panose1 w:val="020B0503020000020004"/>
    <w:charset w:val="00"/>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1284360"/>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
    <w:nsid w:val="00000007"/>
    <w:multiLevelType w:val="multilevel"/>
    <w:tmpl w:val="00000007"/>
    <w:lvl w:ilvl="0" w:tentative="1">
      <w:start w:val="1"/>
      <w:numFmt w:val="chineseCountingThousand"/>
      <w:lvlText w:val="(%1)"/>
      <w:lvlJc w:val="left"/>
      <w:pPr>
        <w:ind w:left="1648" w:hanging="1080"/>
      </w:pPr>
      <w:rPr>
        <w:rFonts w:hint="default"/>
      </w:rPr>
    </w:lvl>
    <w:lvl w:ilvl="1" w:tentative="1">
      <w:start w:val="1"/>
      <w:numFmt w:val="lowerLetter"/>
      <w:lvlText w:val="%2)"/>
      <w:lvlJc w:val="left"/>
      <w:pPr>
        <w:ind w:left="1408" w:hanging="420"/>
      </w:pPr>
    </w:lvl>
    <w:lvl w:ilvl="2" w:tentative="1">
      <w:start w:val="1"/>
      <w:numFmt w:val="lowerRoman"/>
      <w:lvlText w:val="%3."/>
      <w:lvlJc w:val="right"/>
      <w:pPr>
        <w:ind w:left="1828" w:hanging="420"/>
      </w:pPr>
    </w:lvl>
    <w:lvl w:ilvl="3" w:tentative="1">
      <w:start w:val="1"/>
      <w:numFmt w:val="decimal"/>
      <w:lvlText w:val="%4."/>
      <w:lvlJc w:val="left"/>
      <w:pPr>
        <w:ind w:left="2248" w:hanging="420"/>
      </w:pPr>
    </w:lvl>
    <w:lvl w:ilvl="4" w:tentative="1">
      <w:start w:val="1"/>
      <w:numFmt w:val="lowerLetter"/>
      <w:lvlText w:val="%5)"/>
      <w:lvlJc w:val="left"/>
      <w:pPr>
        <w:ind w:left="2668" w:hanging="420"/>
      </w:pPr>
    </w:lvl>
    <w:lvl w:ilvl="5" w:tentative="1">
      <w:start w:val="1"/>
      <w:numFmt w:val="lowerRoman"/>
      <w:lvlText w:val="%6."/>
      <w:lvlJc w:val="right"/>
      <w:pPr>
        <w:ind w:left="3088" w:hanging="420"/>
      </w:pPr>
    </w:lvl>
    <w:lvl w:ilvl="6" w:tentative="1">
      <w:start w:val="1"/>
      <w:numFmt w:val="decimal"/>
      <w:lvlText w:val="%7."/>
      <w:lvlJc w:val="left"/>
      <w:pPr>
        <w:ind w:left="3508" w:hanging="420"/>
      </w:pPr>
    </w:lvl>
    <w:lvl w:ilvl="7" w:tentative="1">
      <w:start w:val="1"/>
      <w:numFmt w:val="lowerLetter"/>
      <w:lvlText w:val="%8)"/>
      <w:lvlJc w:val="left"/>
      <w:pPr>
        <w:ind w:left="3928" w:hanging="420"/>
      </w:pPr>
    </w:lvl>
    <w:lvl w:ilvl="8" w:tentative="1">
      <w:start w:val="1"/>
      <w:numFmt w:val="lowerRoman"/>
      <w:lvlText w:val="%9."/>
      <w:lvlJc w:val="right"/>
      <w:pPr>
        <w:ind w:left="4348" w:hanging="420"/>
      </w:pPr>
    </w:lvl>
  </w:abstractNum>
  <w:num w:numId="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DE1"/>
    <w:rsid w:val="0001196B"/>
    <w:rsid w:val="00030C33"/>
    <w:rsid w:val="000443FC"/>
    <w:rsid w:val="00051AB1"/>
    <w:rsid w:val="00074B39"/>
    <w:rsid w:val="000806B8"/>
    <w:rsid w:val="000873A1"/>
    <w:rsid w:val="00087EFD"/>
    <w:rsid w:val="00093530"/>
    <w:rsid w:val="000A774A"/>
    <w:rsid w:val="000B2B75"/>
    <w:rsid w:val="00113C04"/>
    <w:rsid w:val="001173EE"/>
    <w:rsid w:val="001444A9"/>
    <w:rsid w:val="0016329F"/>
    <w:rsid w:val="001730EE"/>
    <w:rsid w:val="001A6764"/>
    <w:rsid w:val="002107CA"/>
    <w:rsid w:val="0023035F"/>
    <w:rsid w:val="002B23D9"/>
    <w:rsid w:val="002D3984"/>
    <w:rsid w:val="00306A28"/>
    <w:rsid w:val="0031687B"/>
    <w:rsid w:val="003A181F"/>
    <w:rsid w:val="003D6C45"/>
    <w:rsid w:val="003E789D"/>
    <w:rsid w:val="003F5C6F"/>
    <w:rsid w:val="00452347"/>
    <w:rsid w:val="00456CF3"/>
    <w:rsid w:val="004F5112"/>
    <w:rsid w:val="00560879"/>
    <w:rsid w:val="005D5FFA"/>
    <w:rsid w:val="00607570"/>
    <w:rsid w:val="00613293"/>
    <w:rsid w:val="00642A53"/>
    <w:rsid w:val="006627AA"/>
    <w:rsid w:val="00662C17"/>
    <w:rsid w:val="00673A8E"/>
    <w:rsid w:val="006A1DE7"/>
    <w:rsid w:val="006A5143"/>
    <w:rsid w:val="006C6864"/>
    <w:rsid w:val="006C6E2B"/>
    <w:rsid w:val="006D47F7"/>
    <w:rsid w:val="00700C07"/>
    <w:rsid w:val="0077008E"/>
    <w:rsid w:val="00770986"/>
    <w:rsid w:val="00787FCD"/>
    <w:rsid w:val="007A31CE"/>
    <w:rsid w:val="007D7E77"/>
    <w:rsid w:val="007F7EF6"/>
    <w:rsid w:val="00824710"/>
    <w:rsid w:val="008506EA"/>
    <w:rsid w:val="008635A1"/>
    <w:rsid w:val="0088412D"/>
    <w:rsid w:val="009007DF"/>
    <w:rsid w:val="00924698"/>
    <w:rsid w:val="0093165D"/>
    <w:rsid w:val="009722BC"/>
    <w:rsid w:val="00990A19"/>
    <w:rsid w:val="009C562D"/>
    <w:rsid w:val="00A05728"/>
    <w:rsid w:val="00A35086"/>
    <w:rsid w:val="00A7230C"/>
    <w:rsid w:val="00A91DE1"/>
    <w:rsid w:val="00AB7E6B"/>
    <w:rsid w:val="00AD09D8"/>
    <w:rsid w:val="00AF0A05"/>
    <w:rsid w:val="00AF4074"/>
    <w:rsid w:val="00B15360"/>
    <w:rsid w:val="00B16C80"/>
    <w:rsid w:val="00B17EAB"/>
    <w:rsid w:val="00BA57F2"/>
    <w:rsid w:val="00BD0BE4"/>
    <w:rsid w:val="00C23C70"/>
    <w:rsid w:val="00C33D67"/>
    <w:rsid w:val="00C94C4C"/>
    <w:rsid w:val="00CA4E48"/>
    <w:rsid w:val="00CC3BB0"/>
    <w:rsid w:val="00CD3B5F"/>
    <w:rsid w:val="00CD65DE"/>
    <w:rsid w:val="00CF565D"/>
    <w:rsid w:val="00D0415A"/>
    <w:rsid w:val="00D3478B"/>
    <w:rsid w:val="00D408D8"/>
    <w:rsid w:val="00D436D8"/>
    <w:rsid w:val="00D85C5F"/>
    <w:rsid w:val="00E41AC9"/>
    <w:rsid w:val="00E43130"/>
    <w:rsid w:val="00E911D5"/>
    <w:rsid w:val="00EA3D25"/>
    <w:rsid w:val="00EB639A"/>
    <w:rsid w:val="00EB745E"/>
    <w:rsid w:val="00ED745F"/>
    <w:rsid w:val="00EF33BC"/>
    <w:rsid w:val="00EF3A6A"/>
    <w:rsid w:val="00F36670"/>
    <w:rsid w:val="00F44112"/>
    <w:rsid w:val="00F6000D"/>
    <w:rsid w:val="00F627A9"/>
    <w:rsid w:val="00FB500D"/>
    <w:rsid w:val="00FD19E1"/>
    <w:rsid w:val="00FE1024"/>
    <w:rsid w:val="38C466B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 w:type="paragraph" w:customStyle="1" w:styleId="9">
    <w:name w:val="hstyle0"/>
    <w:basedOn w:val="1"/>
    <w:uiPriority w:val="0"/>
    <w:pPr>
      <w:spacing w:line="384" w:lineRule="auto"/>
    </w:pPr>
    <w:rPr>
      <w:rFonts w:ascii="Batang" w:hAnsi="Batang" w:eastAsia="Batang" w:cs="Gulim"/>
      <w:color w:val="000000"/>
      <w:sz w:val="20"/>
      <w:szCs w:val="20"/>
      <w:lang w:eastAsia="ko-KR"/>
    </w:rPr>
  </w:style>
  <w:style w:type="paragraph" w:customStyle="1" w:styleId="10">
    <w:name w:val="List Paragraph"/>
    <w:basedOn w:val="1"/>
    <w:qFormat/>
    <w:uiPriority w:val="34"/>
    <w:pPr>
      <w:ind w:firstLine="420" w:firstLineChars="200"/>
    </w:pPr>
  </w:style>
  <w:style w:type="paragraph" w:customStyle="1" w:styleId="11">
    <w:name w:val="列出段落1"/>
    <w:basedOn w:val="1"/>
    <w:uiPriority w:val="0"/>
    <w:pPr>
      <w:ind w:firstLine="420" w:firstLineChars="200"/>
    </w:pPr>
    <w:rPr>
      <w:rFonts w:ascii="Calibri" w:hAnsi="Calibri"/>
      <w:szCs w:val="22"/>
    </w:rPr>
  </w:style>
  <w:style w:type="character" w:customStyle="1" w:styleId="12">
    <w:name w:val="批注框文本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emf"/><Relationship Id="rId11" Type="http://schemas.openxmlformats.org/officeDocument/2006/relationships/oleObject" Target="embeddings/oleObject4.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267</Words>
  <Characters>1525</Characters>
  <Lines>12</Lines>
  <Paragraphs>3</Paragraphs>
  <TotalTime>0</TotalTime>
  <ScaleCrop>false</ScaleCrop>
  <LinksUpToDate>false</LinksUpToDate>
  <CharactersWithSpaces>1789</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2018-02-06T08:11:00Z</dcterms:created>
  <dc:creator>user</dc:creator>
  <cp:lastModifiedBy>editor</cp:lastModifiedBy>
  <dcterms:modified xsi:type="dcterms:W3CDTF">2019-12-03T03:29:10Z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