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43" w:lineRule="exact"/>
        <w:ind w:left="0" w:right="0" w:firstLine="0" w:firstLineChars="0"/>
        <w:jc w:val="both"/>
        <w:rPr>
          <w:rFonts w:hint="eastAsia" w:ascii="黑体" w:hAnsi="宋体" w:eastAsia="黑体" w:cs="黑体"/>
          <w:sz w:val="32"/>
          <w:szCs w:val="32"/>
        </w:rPr>
      </w:pPr>
      <w:r>
        <w:rPr>
          <w:rFonts w:hint="eastAsia" w:ascii="黑体" w:hAnsi="宋体" w:eastAsia="黑体" w:cs="黑体"/>
          <w:kern w:val="0"/>
          <w:sz w:val="32"/>
          <w:szCs w:val="32"/>
          <w:lang w:val="en-US" w:eastAsia="zh-CN" w:bidi="ar"/>
        </w:rPr>
        <w:t>附件1</w:t>
      </w:r>
    </w:p>
    <w:p>
      <w:pPr>
        <w:keepNext w:val="0"/>
        <w:keepLines w:val="0"/>
        <w:widowControl/>
        <w:suppressLineNumbers w:val="0"/>
        <w:spacing w:before="0" w:beforeAutospacing="0" w:after="0" w:afterAutospacing="0" w:line="600" w:lineRule="exact"/>
        <w:ind w:left="0" w:right="0" w:firstLine="0" w:firstLineChars="0"/>
        <w:jc w:val="center"/>
        <w:rPr>
          <w:rFonts w:hint="eastAsia" w:ascii="方正小标宋简体" w:hAnsi="仿宋" w:eastAsia="方正小标宋简体" w:cs="方正仿宋简体"/>
          <w:sz w:val="36"/>
          <w:szCs w:val="36"/>
        </w:rPr>
      </w:pPr>
      <w:r>
        <w:rPr>
          <w:rFonts w:hint="eastAsia" w:ascii="方正小标宋简体" w:hAnsi="仿宋" w:eastAsia="方正小标宋简体" w:cs="方正仿宋简体"/>
          <w:kern w:val="0"/>
          <w:sz w:val="36"/>
          <w:szCs w:val="36"/>
          <w:lang w:val="en-US" w:eastAsia="zh-CN" w:bidi="ar"/>
        </w:rPr>
        <w:t>2020年第四批中央财政支持开展居家和社区养老服务改革试点工作成果验收评分表</w:t>
      </w:r>
    </w:p>
    <w:p>
      <w:pPr>
        <w:keepNext w:val="0"/>
        <w:keepLines w:val="0"/>
        <w:widowControl/>
        <w:suppressLineNumbers w:val="0"/>
        <w:spacing w:before="0" w:beforeAutospacing="0" w:after="0" w:afterAutospacing="0" w:line="600" w:lineRule="exact"/>
        <w:ind w:left="0" w:right="0"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试点地区：      省（区、市）      市（区）       填表时间：2020年8月  日</w:t>
      </w:r>
    </w:p>
    <w:tbl>
      <w:tblPr>
        <w:tblStyle w:val="3"/>
        <w:tblW w:w="13357" w:type="dxa"/>
        <w:tblInd w:w="93" w:type="dxa"/>
        <w:shd w:val="clear"/>
        <w:tblLayout w:type="fixed"/>
        <w:tblCellMar>
          <w:top w:w="0" w:type="dxa"/>
          <w:left w:w="108" w:type="dxa"/>
          <w:bottom w:w="0" w:type="dxa"/>
          <w:right w:w="108" w:type="dxa"/>
        </w:tblCellMar>
      </w:tblPr>
      <w:tblGrid>
        <w:gridCol w:w="1376"/>
        <w:gridCol w:w="6417"/>
        <w:gridCol w:w="3974"/>
        <w:gridCol w:w="794"/>
        <w:gridCol w:w="796"/>
      </w:tblGrid>
      <w:tr>
        <w:tblPrEx>
          <w:shd w:val="clear"/>
          <w:tblLayout w:type="fixed"/>
          <w:tblCellMar>
            <w:top w:w="0" w:type="dxa"/>
            <w:left w:w="108" w:type="dxa"/>
            <w:bottom w:w="0" w:type="dxa"/>
            <w:right w:w="108" w:type="dxa"/>
          </w:tblCellMar>
        </w:tblPrEx>
        <w:trPr>
          <w:trHeight w:val="702" w:hRule="atLeast"/>
        </w:trPr>
        <w:tc>
          <w:tcPr>
            <w:tcW w:w="13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黑体" w:hAnsi="宋体" w:eastAsia="黑体" w:cs="黑体"/>
                <w:b w:val="0"/>
                <w:kern w:val="2"/>
                <w:sz w:val="28"/>
                <w:szCs w:val="28"/>
                <w:bdr w:val="none" w:color="auto" w:sz="0" w:space="0"/>
              </w:rPr>
            </w:pPr>
            <w:r>
              <w:rPr>
                <w:rFonts w:hint="eastAsia" w:ascii="黑体" w:hAnsi="宋体" w:eastAsia="黑体" w:cs="黑体"/>
                <w:b w:val="0"/>
                <w:kern w:val="2"/>
                <w:sz w:val="28"/>
                <w:szCs w:val="28"/>
                <w:bdr w:val="none" w:color="auto" w:sz="0" w:space="0"/>
                <w:lang w:val="en-US" w:eastAsia="zh-CN" w:bidi="ar"/>
              </w:rPr>
              <w:t>验收内容</w:t>
            </w: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黑体" w:hAnsi="宋体" w:eastAsia="黑体" w:cs="黑体"/>
                <w:b w:val="0"/>
                <w:kern w:val="2"/>
                <w:sz w:val="28"/>
                <w:szCs w:val="28"/>
                <w:bdr w:val="none" w:color="auto" w:sz="0" w:space="0"/>
              </w:rPr>
            </w:pPr>
            <w:r>
              <w:rPr>
                <w:rFonts w:hint="eastAsia" w:ascii="黑体" w:hAnsi="宋体" w:eastAsia="黑体" w:cs="黑体"/>
                <w:b w:val="0"/>
                <w:kern w:val="2"/>
                <w:sz w:val="28"/>
                <w:szCs w:val="28"/>
                <w:bdr w:val="none" w:color="auto" w:sz="0" w:space="0"/>
                <w:lang w:val="en-US" w:eastAsia="zh-CN" w:bidi="ar"/>
              </w:rPr>
              <w:t>评分标准及分值（除特殊说明外，工作任务已完成才可得分，正在研究或推进的不得分）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黑体" w:hAnsi="宋体" w:eastAsia="黑体" w:cs="黑体"/>
                <w:b w:val="0"/>
                <w:kern w:val="2"/>
                <w:sz w:val="28"/>
                <w:szCs w:val="28"/>
                <w:bdr w:val="none" w:color="auto" w:sz="0" w:space="0"/>
              </w:rPr>
            </w:pPr>
            <w:r>
              <w:rPr>
                <w:rFonts w:hint="eastAsia" w:ascii="黑体" w:hAnsi="宋体" w:eastAsia="黑体" w:cs="黑体"/>
                <w:b w:val="0"/>
                <w:kern w:val="2"/>
                <w:sz w:val="28"/>
                <w:szCs w:val="28"/>
                <w:bdr w:val="none" w:color="auto" w:sz="0" w:space="0"/>
                <w:lang w:val="en-US" w:eastAsia="zh-CN" w:bidi="ar"/>
              </w:rPr>
              <w:t>评分依据</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黑体" w:hAnsi="宋体" w:eastAsia="黑体" w:cs="黑体"/>
                <w:b w:val="0"/>
                <w:kern w:val="2"/>
                <w:sz w:val="28"/>
                <w:szCs w:val="28"/>
                <w:bdr w:val="none" w:color="auto" w:sz="0" w:space="0"/>
              </w:rPr>
            </w:pPr>
            <w:r>
              <w:rPr>
                <w:rFonts w:hint="eastAsia" w:ascii="黑体" w:hAnsi="宋体" w:eastAsia="黑体" w:cs="黑体"/>
                <w:b w:val="0"/>
                <w:kern w:val="2"/>
                <w:sz w:val="28"/>
                <w:szCs w:val="28"/>
                <w:bdr w:val="none" w:color="auto" w:sz="0" w:space="0"/>
                <w:lang w:val="en-US" w:eastAsia="zh-CN" w:bidi="ar"/>
              </w:rPr>
              <w:t>最高得分</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黑体" w:hAnsi="宋体" w:eastAsia="黑体" w:cs="黑体"/>
                <w:b w:val="0"/>
                <w:kern w:val="2"/>
                <w:sz w:val="28"/>
                <w:szCs w:val="28"/>
                <w:bdr w:val="none" w:color="auto" w:sz="0" w:space="0"/>
              </w:rPr>
            </w:pPr>
            <w:r>
              <w:rPr>
                <w:rFonts w:hint="eastAsia" w:ascii="黑体" w:hAnsi="宋体" w:eastAsia="黑体" w:cs="黑体"/>
                <w:b w:val="0"/>
                <w:kern w:val="2"/>
                <w:sz w:val="28"/>
                <w:szCs w:val="28"/>
                <w:bdr w:val="none" w:color="auto" w:sz="0" w:space="0"/>
                <w:lang w:val="en-US" w:eastAsia="zh-CN" w:bidi="ar"/>
              </w:rPr>
              <w:t>得分</w:t>
            </w:r>
          </w:p>
        </w:tc>
      </w:tr>
      <w:tr>
        <w:tblPrEx>
          <w:tblLayout w:type="fixed"/>
          <w:tblCellMar>
            <w:top w:w="0" w:type="dxa"/>
            <w:left w:w="108" w:type="dxa"/>
            <w:bottom w:w="0" w:type="dxa"/>
            <w:right w:w="108" w:type="dxa"/>
          </w:tblCellMar>
        </w:tblPrEx>
        <w:trPr>
          <w:trHeight w:val="702" w:hRule="atLeast"/>
        </w:trPr>
        <w:tc>
          <w:tcPr>
            <w:tcW w:w="1376"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1.组织领导</w:t>
            </w:r>
          </w:p>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（18分）</w:t>
            </w: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1.1.1 设立市委书记或市长牵头的领导小组，得4分；设立副市长牵头的领导小组，得2分。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有关记录或证明材料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4</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702"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1.1.2 领导小组召开居家和社区养老服务改革试点专题会议，得2分。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有关记录或证明材料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406"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1.1.3 试点地区所在省份对试点地区开展了督促指导工作，得2分。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有关记录或证明材料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90"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1.2.1 制定促进居家和社区养老服务发展的专项政策文件，得3分；正在推进制定相关政策，得2分。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已制定出台的，提供政策文件；推进制定的，提供政策文件征求意见稿</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1079"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1.2.2 制定或落实扶持社会力量参与居家和社区养老服务的优惠政策，得3分；正在推进制定相关政策，得2分。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已制定出台的，提供政策文件；已落实的政策，提供社会力量享受优惠政策的证明；正在推进制定的，提供政策文件征求意见稿</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1002"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1.2.3 制定加强居家和社区养老服务设施建设和管理的政策制度，得4分；正在推进制定相关政策，得2分。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已制定出台的，提供政策文件；正在推进制定的，提供政策文件征求意见稿</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4</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1500" w:hRule="atLeast"/>
        </w:trPr>
        <w:tc>
          <w:tcPr>
            <w:tcW w:w="1376"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2.工作进展（67分)</w:t>
            </w:r>
          </w:p>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2.1.1 制定城乡经济困难家庭的失能、失独、空巢（留守）、高龄等老年人（以下简称“特殊困难老年人”）服务清单，得2分；开展特殊困难老年人筛查摸底工作，得2分；（仅适用非贫困地区）对城市特殊困难老年人开展探访服务，探访率达到50%，得2分；（仅适用以“三区三州”等深度贫困地区、革命老区、民族地区、边疆地区、集中连片特困地区申报的试点地区，以下简称“贫困地区”）将农村贫困老年人养老服务需求同打赢脱贫攻坚战相结合，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特殊困难老年人服务清单、筛查摸底工作记录、探访记录、特殊困难老年人名单、建档立卡贫困老年人名单</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宋体" w:hAnsi="宋体" w:eastAsia="宋体" w:cs="宋体"/>
                <w:kern w:val="2"/>
                <w:sz w:val="24"/>
                <w:szCs w:val="24"/>
                <w:bdr w:val="none" w:color="auto" w:sz="0" w:space="0"/>
              </w:rPr>
            </w:pPr>
            <w:r>
              <w:rPr>
                <w:rFonts w:hint="eastAsia" w:ascii="宋体" w:hAnsi="宋体" w:eastAsia="宋体" w:cs="宋体"/>
                <w:kern w:val="2"/>
                <w:sz w:val="24"/>
                <w:szCs w:val="24"/>
                <w:bdr w:val="none" w:color="auto" w:sz="0" w:space="0"/>
                <w:lang w:val="en-US" w:eastAsia="zh-CN" w:bidi="ar"/>
              </w:rPr>
              <w:t>6</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宋体" w:hAnsi="宋体" w:eastAsia="宋体" w:cs="宋体"/>
                <w:kern w:val="2"/>
                <w:sz w:val="24"/>
                <w:szCs w:val="24"/>
                <w:bdr w:val="none" w:color="auto" w:sz="0" w:space="0"/>
              </w:rPr>
            </w:pPr>
          </w:p>
        </w:tc>
      </w:tr>
      <w:tr>
        <w:tblPrEx>
          <w:tblLayout w:type="fixed"/>
          <w:tblCellMar>
            <w:top w:w="0" w:type="dxa"/>
            <w:left w:w="108" w:type="dxa"/>
            <w:bottom w:w="0" w:type="dxa"/>
            <w:right w:w="108" w:type="dxa"/>
          </w:tblCellMar>
        </w:tblPrEx>
        <w:trPr>
          <w:trHeight w:val="1002" w:hRule="atLeast"/>
        </w:trPr>
        <w:tc>
          <w:tcPr>
            <w:tcW w:w="1376"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2.2.1 培育2家以上具有全托、日托、上门服务等综合功能的本土社区养老服务机构，得3分；引进2家以上连锁化运营的居家和社区养老服务龙头企业或社会组织，得2分；正在推动培育和引进，得1分。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有关机构名单（连锁化机构指的是在全国有3家以上机构）</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宋体" w:hAnsi="宋体" w:eastAsia="宋体" w:cs="宋体"/>
                <w:kern w:val="2"/>
                <w:sz w:val="24"/>
                <w:szCs w:val="24"/>
                <w:bdr w:val="none" w:color="auto" w:sz="0" w:space="0"/>
              </w:rPr>
            </w:pPr>
            <w:r>
              <w:rPr>
                <w:rFonts w:hint="eastAsia" w:ascii="宋体" w:hAnsi="宋体" w:eastAsia="宋体" w:cs="宋体"/>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宋体" w:hAnsi="宋体" w:eastAsia="宋体" w:cs="宋体"/>
                <w:kern w:val="2"/>
                <w:sz w:val="24"/>
                <w:szCs w:val="24"/>
                <w:bdr w:val="none" w:color="auto" w:sz="0" w:space="0"/>
              </w:rPr>
            </w:pPr>
          </w:p>
        </w:tc>
      </w:tr>
      <w:tr>
        <w:tblPrEx>
          <w:tblLayout w:type="fixed"/>
          <w:tblCellMar>
            <w:top w:w="0" w:type="dxa"/>
            <w:left w:w="108" w:type="dxa"/>
            <w:bottom w:w="0" w:type="dxa"/>
            <w:right w:w="108" w:type="dxa"/>
          </w:tblCellMar>
        </w:tblPrEx>
        <w:trPr>
          <w:trHeight w:val="90" w:hRule="atLeast"/>
        </w:trPr>
        <w:tc>
          <w:tcPr>
            <w:tcW w:w="1376"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2.2.2 2019-2020年新增居家和社区养老服务设施中，交由社会力量运营的比例达40％及以上的，得4分；达20%—40%的，得2分。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2019-2020年新增设施中交由社会力量运营的设施名单（设施名单需标注运营方基本信息和联系方式）</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宋体" w:hAnsi="宋体" w:eastAsia="宋体" w:cs="宋体"/>
                <w:kern w:val="2"/>
                <w:sz w:val="24"/>
                <w:szCs w:val="24"/>
                <w:bdr w:val="none" w:color="auto" w:sz="0" w:space="0"/>
              </w:rPr>
            </w:pPr>
            <w:r>
              <w:rPr>
                <w:rFonts w:hint="eastAsia" w:ascii="宋体" w:hAnsi="宋体" w:eastAsia="宋体" w:cs="宋体"/>
                <w:kern w:val="2"/>
                <w:sz w:val="24"/>
                <w:szCs w:val="24"/>
                <w:bdr w:val="none" w:color="auto" w:sz="0" w:space="0"/>
                <w:lang w:val="en-US" w:eastAsia="zh-CN" w:bidi="ar"/>
              </w:rPr>
              <w:t>4</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宋体" w:hAnsi="宋体" w:eastAsia="宋体" w:cs="宋体"/>
                <w:kern w:val="2"/>
                <w:sz w:val="24"/>
                <w:szCs w:val="24"/>
                <w:bdr w:val="none" w:color="auto" w:sz="0" w:space="0"/>
              </w:rPr>
            </w:pPr>
          </w:p>
        </w:tc>
      </w:tr>
      <w:tr>
        <w:tblPrEx>
          <w:tblLayout w:type="fixed"/>
          <w:tblCellMar>
            <w:top w:w="0" w:type="dxa"/>
            <w:left w:w="108" w:type="dxa"/>
            <w:bottom w:w="0" w:type="dxa"/>
            <w:right w:w="108" w:type="dxa"/>
          </w:tblCellMar>
        </w:tblPrEx>
        <w:trPr>
          <w:trHeight w:val="338" w:hRule="atLeast"/>
        </w:trPr>
        <w:tc>
          <w:tcPr>
            <w:tcW w:w="1376"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2.2.3 对社区养老服务机构发展给予房租、用水用电用气等价格优惠，得3分。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有关政策文件或佐证材料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宋体" w:hAnsi="宋体" w:eastAsia="宋体" w:cs="宋体"/>
                <w:kern w:val="2"/>
                <w:sz w:val="24"/>
                <w:szCs w:val="24"/>
                <w:bdr w:val="none" w:color="auto" w:sz="0" w:space="0"/>
              </w:rPr>
            </w:pPr>
            <w:r>
              <w:rPr>
                <w:rFonts w:hint="eastAsia" w:ascii="宋体" w:hAnsi="宋体" w:eastAsia="宋体" w:cs="宋体"/>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宋体" w:hAnsi="宋体" w:eastAsia="宋体" w:cs="宋体"/>
                <w:kern w:val="2"/>
                <w:sz w:val="24"/>
                <w:szCs w:val="24"/>
                <w:bdr w:val="none" w:color="auto" w:sz="0" w:space="0"/>
              </w:rPr>
            </w:pPr>
          </w:p>
        </w:tc>
      </w:tr>
      <w:tr>
        <w:tblPrEx>
          <w:tblLayout w:type="fixed"/>
          <w:tblCellMar>
            <w:top w:w="0" w:type="dxa"/>
            <w:left w:w="108" w:type="dxa"/>
            <w:bottom w:w="0" w:type="dxa"/>
            <w:right w:w="108" w:type="dxa"/>
          </w:tblCellMar>
        </w:tblPrEx>
        <w:trPr>
          <w:trHeight w:val="90" w:hRule="atLeast"/>
        </w:trPr>
        <w:tc>
          <w:tcPr>
            <w:tcW w:w="1376"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2.2.4 对家庭养老（照护）床位给予建设或运营补贴，得4分。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有关政策文件或佐证材料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宋体" w:hAnsi="宋体" w:eastAsia="宋体" w:cs="宋体"/>
                <w:kern w:val="2"/>
                <w:sz w:val="24"/>
                <w:szCs w:val="24"/>
                <w:bdr w:val="none" w:color="auto" w:sz="0" w:space="0"/>
              </w:rPr>
            </w:pPr>
            <w:r>
              <w:rPr>
                <w:rFonts w:hint="eastAsia" w:ascii="宋体" w:hAnsi="宋体" w:eastAsia="宋体" w:cs="宋体"/>
                <w:kern w:val="2"/>
                <w:sz w:val="24"/>
                <w:szCs w:val="24"/>
                <w:bdr w:val="none" w:color="auto" w:sz="0" w:space="0"/>
                <w:lang w:val="en-US" w:eastAsia="zh-CN" w:bidi="ar"/>
              </w:rPr>
              <w:t>4</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宋体" w:hAnsi="宋体" w:eastAsia="宋体" w:cs="宋体"/>
                <w:kern w:val="2"/>
                <w:sz w:val="24"/>
                <w:szCs w:val="24"/>
                <w:bdr w:val="none" w:color="auto" w:sz="0" w:space="0"/>
              </w:rPr>
            </w:pPr>
          </w:p>
        </w:tc>
      </w:tr>
      <w:tr>
        <w:tblPrEx>
          <w:tblLayout w:type="fixed"/>
          <w:tblCellMar>
            <w:top w:w="0" w:type="dxa"/>
            <w:left w:w="108" w:type="dxa"/>
            <w:bottom w:w="0" w:type="dxa"/>
            <w:right w:w="108" w:type="dxa"/>
          </w:tblCellMar>
        </w:tblPrEx>
        <w:trPr>
          <w:trHeight w:val="440" w:hRule="atLeast"/>
        </w:trPr>
        <w:tc>
          <w:tcPr>
            <w:tcW w:w="1376"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2.2.5 其他支持社会力量参与居家和社区养老服务发展的具体措施，得3分。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有关政策文件或佐证材料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宋体" w:hAnsi="宋体" w:eastAsia="宋体" w:cs="宋体"/>
                <w:kern w:val="2"/>
                <w:sz w:val="24"/>
                <w:szCs w:val="24"/>
                <w:bdr w:val="none" w:color="auto" w:sz="0" w:space="0"/>
              </w:rPr>
            </w:pPr>
            <w:r>
              <w:rPr>
                <w:rFonts w:hint="eastAsia" w:ascii="宋体" w:hAnsi="宋体" w:eastAsia="宋体" w:cs="宋体"/>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宋体" w:hAnsi="宋体" w:eastAsia="宋体" w:cs="宋体"/>
                <w:kern w:val="2"/>
                <w:sz w:val="24"/>
                <w:szCs w:val="24"/>
                <w:bdr w:val="none" w:color="auto" w:sz="0" w:space="0"/>
              </w:rPr>
            </w:pPr>
          </w:p>
        </w:tc>
      </w:tr>
      <w:tr>
        <w:tblPrEx>
          <w:tblLayout w:type="fixed"/>
          <w:tblCellMar>
            <w:top w:w="0" w:type="dxa"/>
            <w:left w:w="108" w:type="dxa"/>
            <w:bottom w:w="0" w:type="dxa"/>
            <w:right w:w="108" w:type="dxa"/>
          </w:tblCellMar>
        </w:tblPrEx>
        <w:trPr>
          <w:trHeight w:val="900" w:hRule="atLeast"/>
        </w:trPr>
        <w:tc>
          <w:tcPr>
            <w:tcW w:w="1376"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2.工作进展（67分)</w:t>
            </w: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2.3.1 建立统一管理、综合开放的居家和社区养老服务信息平台，得2分；正在建立的，得1分。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服务热线、网络平台有关信息以及运营机构基本情况、联系方式等信息</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679"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2.3.2 在居家和社区养老服务设施中推广智慧养老服务和产品，得2分。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推广活动相关文字、影像资料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842"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2.4.1 面向养老护理员、家庭照护者、社会工作者以及志愿者开展政府补贴性线上线下培训和技能指导，得4分。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有关佐证材料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4</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90"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2.4.2 养老机构面向社区和居家提供上门服务，得3分。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上门服务部分记录</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720"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2.4.3 与当地院校合作，开设养老服务相关专业，扩大人才供给，得2分。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招生简章、招生记录等</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577"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default" w:ascii="Calibri" w:hAnsi="Calibri" w:eastAsia="宋体" w:cs="Times New Roman"/>
                <w:kern w:val="2"/>
                <w:sz w:val="21"/>
                <w:szCs w:val="21"/>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2.5.1 试点地区社区养老服务机构与基层医疗卫生机构签约服务率大于或等于30％，得2分。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default" w:ascii="Calibri" w:hAnsi="Calibri" w:eastAsia="宋体" w:cs="Times New Roman"/>
                <w:kern w:val="2"/>
                <w:sz w:val="21"/>
                <w:szCs w:val="21"/>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签约协议等</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442"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2.5.2 试点地区30%及以上社区养老服务机构与基层医疗卫生机构建立就诊绿色通道，得2分。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建立绿色通道记录</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1151"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2.6.1制定本地居家和社区养老服务质量标准或贯彻落实所在省份居家和社区养老服务质量标准，得2分；引入第三方机构开展质量监管，得2分。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制定或贯彻落实有关标准的文件、第三方机构开展质量监督的报告</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4</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1059" w:hRule="atLeast"/>
        </w:trPr>
        <w:tc>
          <w:tcPr>
            <w:tcW w:w="1376"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2.7.1对全市居家和社区养老服务设施进行摸底统计，得1分。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居家和社区养老服务设施统计表和清单</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bl>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方正仿宋简体"/>
          <w:sz w:val="32"/>
          <w:szCs w:val="32"/>
        </w:rPr>
      </w:pPr>
      <w:r>
        <w:rPr>
          <w:rFonts w:hint="eastAsia" w:ascii="仿宋" w:hAnsi="仿宋" w:eastAsia="仿宋" w:cs="方正仿宋简体"/>
          <w:kern w:val="0"/>
          <w:sz w:val="32"/>
          <w:szCs w:val="32"/>
          <w:lang w:val="en-US" w:eastAsia="zh-CN" w:bidi="ar"/>
        </w:rPr>
        <w:t xml:space="preserve"> </w:t>
      </w:r>
    </w:p>
    <w:tbl>
      <w:tblPr>
        <w:tblStyle w:val="3"/>
        <w:tblW w:w="13356" w:type="dxa"/>
        <w:tblInd w:w="93" w:type="dxa"/>
        <w:shd w:val="clear"/>
        <w:tblLayout w:type="fixed"/>
        <w:tblCellMar>
          <w:top w:w="0" w:type="dxa"/>
          <w:left w:w="108" w:type="dxa"/>
          <w:bottom w:w="0" w:type="dxa"/>
          <w:right w:w="108" w:type="dxa"/>
        </w:tblCellMar>
      </w:tblPr>
      <w:tblGrid>
        <w:gridCol w:w="1376"/>
        <w:gridCol w:w="6417"/>
        <w:gridCol w:w="3974"/>
        <w:gridCol w:w="794"/>
        <w:gridCol w:w="795"/>
      </w:tblGrid>
      <w:tr>
        <w:tblPrEx>
          <w:shd w:val="clear"/>
          <w:tblLayout w:type="fixed"/>
          <w:tblCellMar>
            <w:top w:w="0" w:type="dxa"/>
            <w:left w:w="108" w:type="dxa"/>
            <w:bottom w:w="0" w:type="dxa"/>
            <w:right w:w="108" w:type="dxa"/>
          </w:tblCellMar>
        </w:tblPrEx>
        <w:trPr>
          <w:trHeight w:val="740" w:hRule="atLeast"/>
        </w:trPr>
        <w:tc>
          <w:tcPr>
            <w:tcW w:w="13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2.工作进展（67分)</w:t>
            </w: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2.7.2制定政策，明确民政部门在新建小区配套建设养老服务设施中具有同步规划、同步建设、同步验收、同步交付的职责，得6分。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6</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90" w:hRule="atLeast"/>
        </w:trPr>
        <w:tc>
          <w:tcPr>
            <w:tcW w:w="13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2.7.3政府通过购置、置换、租赁等方式整合改造闲置社会资源，无偿或低偿用于居家和社区养老服务，得6分。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整合改造闲置资源用于居家和社区养老服务的政策文件或设施清单</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6</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267" w:hRule="atLeast"/>
        </w:trPr>
        <w:tc>
          <w:tcPr>
            <w:tcW w:w="13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2.8.1制定政策巩固发挥家庭养老功能，得2分。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702" w:hRule="atLeast"/>
        </w:trPr>
        <w:tc>
          <w:tcPr>
            <w:tcW w:w="13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2.8.2发挥基层自治组织作用，建立政府长效投入机制，发展农村幸福院等互助式养老服务设施，得2分。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555" w:hRule="atLeast"/>
        </w:trPr>
        <w:tc>
          <w:tcPr>
            <w:tcW w:w="13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2.9.1 完成二分之一以上所有工作任务的，得6分；完成三分之一以上的，得4分。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试点工作进展自评表</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6</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162" w:hRule="atLeast"/>
        </w:trPr>
        <w:tc>
          <w:tcPr>
            <w:tcW w:w="1376" w:type="dxa"/>
            <w:vMerge w:val="restart"/>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3.资金使用及管理情况</w:t>
            </w:r>
          </w:p>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（10分）</w:t>
            </w:r>
          </w:p>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3.1.1制定中央财政补助资金使用管理方面的制度或方案，得2分。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有关政策文件</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225" w:hRule="atLeast"/>
        </w:trPr>
        <w:tc>
          <w:tcPr>
            <w:tcW w:w="1376" w:type="dxa"/>
            <w:vMerge w:val="continue"/>
            <w:tcBorders>
              <w:top w:val="single" w:color="auto" w:sz="4" w:space="0"/>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3.1.2 2020年5月底前，中央财政补助资金拨付到区县和项目的比例达到60％及以上，得1分。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资金拨付凭证</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1</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288" w:hRule="atLeast"/>
        </w:trPr>
        <w:tc>
          <w:tcPr>
            <w:tcW w:w="1376" w:type="dxa"/>
            <w:vMerge w:val="continue"/>
            <w:tcBorders>
              <w:top w:val="single" w:color="auto" w:sz="4" w:space="0"/>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3.1.3 2020年7月底前，中央财政补助资金使用和执行进度达到50%以上，得2分。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有关文件材料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625" w:hRule="atLeast"/>
        </w:trPr>
        <w:tc>
          <w:tcPr>
            <w:tcW w:w="1376" w:type="dxa"/>
            <w:vMerge w:val="continue"/>
            <w:tcBorders>
              <w:top w:val="single" w:color="auto" w:sz="4" w:space="0"/>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3.2.1第三方机构对中央财政补助资金开展了绩效评价，得2分。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绩效评价报告</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2</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637" w:hRule="atLeast"/>
        </w:trPr>
        <w:tc>
          <w:tcPr>
            <w:tcW w:w="1376" w:type="dxa"/>
            <w:vMerge w:val="continue"/>
            <w:tcBorders>
              <w:top w:val="single" w:color="auto" w:sz="4" w:space="0"/>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3.3.1（仅适用非贫困地区）省级及以下政府投入资金达到或超出中央财政补助资金，得3分。</w:t>
            </w:r>
          </w:p>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（仅适用贫困地区）主要资金和项目向本地区贫困县倾斜的，得3分。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资金安排相关文件</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3</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887" w:hRule="atLeast"/>
        </w:trPr>
        <w:tc>
          <w:tcPr>
            <w:tcW w:w="13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4.典型经验（5分）</w:t>
            </w:r>
          </w:p>
        </w:tc>
        <w:tc>
          <w:tcPr>
            <w:tcW w:w="64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4.1在复制前三批试点经验的基础上，破解本地区某一方面瓶颈问题（如设施配建、机构培育、人才培养、资金整合等）的主要做法。如有，得5分。</w:t>
            </w:r>
          </w:p>
        </w:tc>
        <w:tc>
          <w:tcPr>
            <w:tcW w:w="397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参照附件3格式提供有关书面材料</w:t>
            </w:r>
          </w:p>
        </w:tc>
        <w:tc>
          <w:tcPr>
            <w:tcW w:w="7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5</w:t>
            </w:r>
          </w:p>
        </w:tc>
        <w:tc>
          <w:tcPr>
            <w:tcW w:w="79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p>
        </w:tc>
      </w:tr>
      <w:tr>
        <w:tblPrEx>
          <w:tblLayout w:type="fixed"/>
          <w:tblCellMar>
            <w:top w:w="0" w:type="dxa"/>
            <w:left w:w="108" w:type="dxa"/>
            <w:bottom w:w="0" w:type="dxa"/>
            <w:right w:w="108" w:type="dxa"/>
          </w:tblCellMar>
        </w:tblPrEx>
        <w:trPr>
          <w:trHeight w:val="702" w:hRule="atLeast"/>
        </w:trPr>
        <w:tc>
          <w:tcPr>
            <w:tcW w:w="13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b/>
                <w:kern w:val="2"/>
                <w:sz w:val="28"/>
                <w:szCs w:val="28"/>
                <w:bdr w:val="none" w:color="auto" w:sz="0" w:space="0"/>
              </w:rPr>
            </w:pPr>
            <w:r>
              <w:rPr>
                <w:rFonts w:hint="eastAsia" w:ascii="方正仿宋_GBK" w:hAnsi="方正仿宋_GBK" w:eastAsia="方正仿宋_GBK" w:cs="方正仿宋_GBK"/>
                <w:b/>
                <w:kern w:val="2"/>
                <w:sz w:val="28"/>
                <w:szCs w:val="28"/>
                <w:bdr w:val="none" w:color="auto" w:sz="0" w:space="0"/>
                <w:lang w:val="en-US" w:eastAsia="zh-CN" w:bidi="ar"/>
              </w:rPr>
              <w:t>综合得分</w:t>
            </w:r>
          </w:p>
        </w:tc>
        <w:tc>
          <w:tcPr>
            <w:tcW w:w="1118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b/>
                <w:kern w:val="2"/>
                <w:sz w:val="28"/>
                <w:szCs w:val="28"/>
                <w:bdr w:val="none" w:color="auto" w:sz="0" w:space="0"/>
              </w:rPr>
            </w:pP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b/>
                <w:kern w:val="2"/>
                <w:sz w:val="28"/>
                <w:szCs w:val="28"/>
                <w:bdr w:val="none" w:color="auto" w:sz="0" w:space="0"/>
              </w:rPr>
            </w:pPr>
          </w:p>
        </w:tc>
      </w:tr>
      <w:tr>
        <w:tblPrEx>
          <w:tblLayout w:type="fixed"/>
          <w:tblCellMar>
            <w:top w:w="0" w:type="dxa"/>
            <w:left w:w="108" w:type="dxa"/>
            <w:bottom w:w="0" w:type="dxa"/>
            <w:right w:w="108" w:type="dxa"/>
          </w:tblCellMar>
        </w:tblPrEx>
        <w:trPr>
          <w:trHeight w:val="3465" w:hRule="atLeast"/>
        </w:trPr>
        <w:tc>
          <w:tcPr>
            <w:tcW w:w="12562"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center"/>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验收组组长签字：              验收组成员签字：</w:t>
            </w:r>
          </w:p>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验收填表说明：</w:t>
            </w:r>
          </w:p>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r>
              <w:rPr>
                <w:rFonts w:hint="eastAsia" w:ascii="方正仿宋_GBK" w:hAnsi="方正仿宋_GBK" w:eastAsia="方正仿宋_GBK" w:cs="方正仿宋_GBK"/>
                <w:kern w:val="2"/>
                <w:sz w:val="24"/>
                <w:szCs w:val="24"/>
                <w:bdr w:val="none" w:color="auto" w:sz="0" w:space="0"/>
                <w:lang w:val="en-US" w:eastAsia="zh-CN" w:bidi="ar"/>
              </w:rPr>
              <w:t>相关材料及数据的截止时点为2020年7月31日。</w:t>
            </w:r>
          </w:p>
        </w:tc>
        <w:tc>
          <w:tcPr>
            <w:tcW w:w="7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00" w:lineRule="exact"/>
              <w:ind w:left="0" w:right="0" w:firstLine="0" w:firstLineChars="0"/>
              <w:jc w:val="left"/>
              <w:rPr>
                <w:rFonts w:hint="eastAsia" w:ascii="方正仿宋_GBK" w:hAnsi="方正仿宋_GBK" w:eastAsia="方正仿宋_GBK" w:cs="方正仿宋_GBK"/>
                <w:kern w:val="2"/>
                <w:sz w:val="24"/>
                <w:szCs w:val="24"/>
                <w:bdr w:val="none" w:color="auto" w:sz="0" w:space="0"/>
              </w:rPr>
            </w:pPr>
          </w:p>
        </w:tc>
      </w:tr>
    </w:tbl>
    <w:p>
      <w:pPr>
        <w:rPr>
          <w:rFonts w:hint="eastAsia" w:ascii="方正仿宋_GBK" w:hAnsi="方正仿宋_GBK" w:eastAsia="方正仿宋_GBK" w:cs="方正仿宋_GBK"/>
          <w:kern w:val="2"/>
          <w:sz w:val="24"/>
          <w:szCs w:val="24"/>
        </w:rPr>
        <w:sectPr>
          <w:pgSz w:w="16838" w:h="11900" w:orient="landscape"/>
          <w:pgMar w:top="1440" w:right="1800" w:bottom="1440" w:left="1800" w:header="851" w:footer="992" w:gutter="0"/>
          <w:cols w:space="425" w:num="1"/>
          <w:docGrid w:type="lines" w:linePitch="435" w:charSpace="0"/>
        </w:sectPr>
      </w:pPr>
      <w:bookmarkStart w:id="0" w:name="_GoBack"/>
      <w:bookmarkEnd w:id="0"/>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1D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zhong</dc:creator>
  <cp:lastModifiedBy>肥珍</cp:lastModifiedBy>
  <dcterms:modified xsi:type="dcterms:W3CDTF">2020-07-31T09:19:27Z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