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B8" w:rsidRPr="00D6639D" w:rsidRDefault="00716FB8" w:rsidP="00716FB8">
      <w:pPr>
        <w:spacing w:line="560" w:lineRule="exact"/>
        <w:rPr>
          <w:rFonts w:ascii="黑体" w:eastAsia="黑体" w:hAnsi="黑体" w:hint="eastAsia"/>
        </w:rPr>
      </w:pPr>
      <w:r w:rsidRPr="00D6639D">
        <w:rPr>
          <w:rFonts w:ascii="黑体" w:eastAsia="黑体" w:hAnsi="黑体" w:hint="eastAsia"/>
        </w:rPr>
        <w:t>附件3</w:t>
      </w:r>
    </w:p>
    <w:p w:rsidR="00716FB8" w:rsidRDefault="00716FB8" w:rsidP="00716FB8">
      <w:pPr>
        <w:spacing w:line="560" w:lineRule="exact"/>
        <w:jc w:val="center"/>
        <w:rPr>
          <w:rFonts w:ascii="方正小标宋简体" w:eastAsia="方正小标宋简体"/>
          <w:sz w:val="36"/>
          <w:szCs w:val="36"/>
          <w:shd w:val="clear" w:color="auto" w:fill="FFFFFF"/>
        </w:rPr>
      </w:pPr>
    </w:p>
    <w:p w:rsidR="00716FB8" w:rsidRPr="006B0513" w:rsidRDefault="00716FB8" w:rsidP="00716FB8">
      <w:pPr>
        <w:spacing w:line="560" w:lineRule="exact"/>
        <w:jc w:val="center"/>
        <w:rPr>
          <w:rFonts w:ascii="方正小标宋简体" w:eastAsia="方正小标宋简体"/>
          <w:sz w:val="44"/>
          <w:szCs w:val="44"/>
          <w:shd w:val="clear" w:color="auto" w:fill="FFFFFF"/>
        </w:rPr>
      </w:pPr>
      <w:r w:rsidRPr="006B0513">
        <w:rPr>
          <w:rFonts w:ascii="方正小标宋简体" w:eastAsia="方正小标宋简体" w:hint="eastAsia"/>
          <w:sz w:val="44"/>
          <w:szCs w:val="44"/>
          <w:shd w:val="clear" w:color="auto" w:fill="FFFFFF"/>
        </w:rPr>
        <w:t>云南大学“文物与博物馆专业硕士”简介</w:t>
      </w:r>
    </w:p>
    <w:p w:rsidR="00716FB8" w:rsidRPr="006B6746" w:rsidRDefault="00716FB8" w:rsidP="00716FB8">
      <w:pPr>
        <w:spacing w:line="560" w:lineRule="exact"/>
        <w:jc w:val="center"/>
        <w:rPr>
          <w:rFonts w:ascii="方正小标宋简体" w:eastAsia="方正小标宋简体" w:hint="eastAsia"/>
          <w:sz w:val="36"/>
          <w:szCs w:val="36"/>
          <w:shd w:val="clear" w:color="auto" w:fill="FFFFFF"/>
        </w:rPr>
      </w:pP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云南大学文物与博物馆专业硕士于</w:t>
      </w:r>
      <w:r w:rsidRPr="006B0513">
        <w:rPr>
          <w:rFonts w:ascii="Times New Roman" w:hAnsi="Times New Roman"/>
        </w:rPr>
        <w:t>2011</w:t>
      </w:r>
      <w:r w:rsidRPr="006B0513">
        <w:rPr>
          <w:rFonts w:ascii="仿宋_GB2312" w:hAnsi="仿宋" w:hint="eastAsia"/>
        </w:rPr>
        <w:t>年开始招生，为国内首批文物与博物馆专业硕士授权点之一，拥有校内教师与校外导师相辅助，省内专家与省外专家相结合，田野实习、文博单位室内实训与课堂教学相补充的综合培养方式。本专业主要依靠的教学平台为云南大学人文学院历史系，主要依靠的科研平台为云南大学民族考古研究及文物鉴定评估中心。</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本专业硕士授权点在学校层面、院系层面以及民族考古研究与文物鉴定评估中心（均拥有独立的图书馆或者资料室）拥有丰富的专业图书资源和多样的教学平台,本专业依托云南大学民族考古研究与文物鉴定评估中心，在教学过程中对学生教授考古学理论与方法、田野考古调查与发掘、文物鉴定与评估、文物保护与修复、艺术品市场拍卖与策划、文化遗产申报与保护等方面的课程；近年来又与国内外众多文博与考古单位建立了密切合作关系及硕士研究生联合培养基地，为云南省乃至西南地区的文博单位输送专业技术人才。</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本专业硕士学制为三年，实行弹性学制，学习时间为</w:t>
      </w:r>
      <w:r w:rsidRPr="006B0513">
        <w:rPr>
          <w:rFonts w:ascii="Times New Roman" w:hAnsi="Times New Roman"/>
        </w:rPr>
        <w:t>3</w:t>
      </w:r>
      <w:r w:rsidRPr="006B0513">
        <w:rPr>
          <w:rFonts w:ascii="Times New Roman" w:hAnsi="Times New Roman"/>
        </w:rPr>
        <w:t>至</w:t>
      </w:r>
      <w:r w:rsidRPr="006B0513">
        <w:rPr>
          <w:rFonts w:ascii="Times New Roman" w:hAnsi="Times New Roman"/>
        </w:rPr>
        <w:t>5</w:t>
      </w:r>
      <w:r w:rsidRPr="006B0513">
        <w:rPr>
          <w:rFonts w:ascii="Times New Roman" w:hAnsi="Times New Roman"/>
        </w:rPr>
        <w:t>年，采用双导师制。学生毕业要求修满</w:t>
      </w:r>
      <w:r w:rsidRPr="006B0513">
        <w:rPr>
          <w:rFonts w:ascii="Times New Roman" w:hAnsi="Times New Roman"/>
        </w:rPr>
        <w:t>31</w:t>
      </w:r>
      <w:r w:rsidRPr="006B0513">
        <w:rPr>
          <w:rFonts w:ascii="仿宋_GB2312" w:hAnsi="仿宋" w:hint="eastAsia"/>
        </w:rPr>
        <w:t>个学分，累积参加半年以上的实习（野外和市内的实践活</w:t>
      </w:r>
      <w:r w:rsidRPr="006B0513">
        <w:rPr>
          <w:rFonts w:ascii="仿宋_GB2312" w:hAnsi="仿宋" w:hint="eastAsia"/>
        </w:rPr>
        <w:lastRenderedPageBreak/>
        <w:t>动），累积参加学术活动</w:t>
      </w:r>
      <w:r w:rsidRPr="006B0513">
        <w:rPr>
          <w:rFonts w:ascii="Times New Roman" w:hAnsi="Times New Roman"/>
        </w:rPr>
        <w:t>6</w:t>
      </w:r>
      <w:r w:rsidRPr="006B0513">
        <w:rPr>
          <w:rFonts w:ascii="Times New Roman" w:hAnsi="Times New Roman"/>
        </w:rPr>
        <w:t>次。学生的毕业考核采取学术研究性论文、科研报告、陈列及</w:t>
      </w:r>
      <w:r w:rsidRPr="006B0513">
        <w:rPr>
          <w:rFonts w:ascii="仿宋_GB2312" w:hAnsi="仿宋" w:hint="eastAsia"/>
        </w:rPr>
        <w:t>保护方案、调研报告等多种形式相结合的方式对学生的综合能力进行考察。学生在修满相关学分，并参加足够的实践活动以后，方能进入预答辩程序，预答辩通过以后，可申请正式答辩。</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本专业硕士授权点共有两个招生项，分别是普通招生项和高层次文博人才提升计划招生专项。每个招生项均有四个专业方向：考古学、文物学、科技考古与文物保护技术、博物馆学。</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专业方向介绍：</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中国考古学：以培养具有较深厚考古学田野技能、实践能力和科研能力的考古学专门人才为目标，重点对中国新石器时代、青铜时代的古代文化遗存进行全面、系统、深入的学习、研究和田野实践，主要的就业去向为省、市级田野考古单位、文物管理所和相关科研机构。</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文物学:以培养具有较好的文物鉴定、鉴赏基础知识和博物馆展陈、保护、修复和博物馆理论研究能力的专门人才为目标，重点对文物学、博物馆学进行全面、系统、深入的学习、研究和工作实践，主要就业去向为各级博物馆、文物研究机构以及高校。</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科技考古及文物保护技术：以培养从事金属器的铅同位素矿料来源、金相分析；陶瓷器的光谱分析、胎料和釉料的成分分析、热释光和光释光年代测定；玻璃器的成分分析；玉石器的原料、成分及微痕分析；各类标</w:t>
      </w:r>
      <w:r w:rsidRPr="006B0513">
        <w:rPr>
          <w:rFonts w:ascii="仿宋_GB2312" w:hAnsi="仿宋" w:hint="eastAsia"/>
        </w:rPr>
        <w:lastRenderedPageBreak/>
        <w:t>本的碳</w:t>
      </w:r>
      <w:r w:rsidRPr="006B0513">
        <w:rPr>
          <w:rFonts w:ascii="Times New Roman" w:hAnsi="Times New Roman"/>
        </w:rPr>
        <w:t>14</w:t>
      </w:r>
      <w:r w:rsidRPr="006B0513">
        <w:rPr>
          <w:rFonts w:ascii="Times New Roman" w:hAnsi="Times New Roman"/>
        </w:rPr>
        <w:t>年代数据测定；植物孢子分析；脊椎动物及古人类骨骼检测；岩画颜料成分分析；石质地面建筑及雕塑保护；遗址保护技术等</w:t>
      </w:r>
      <w:r w:rsidRPr="006B0513">
        <w:rPr>
          <w:rFonts w:ascii="Times New Roman" w:hAnsi="Times New Roman"/>
        </w:rPr>
        <w:t>9</w:t>
      </w:r>
      <w:r w:rsidRPr="006B0513">
        <w:rPr>
          <w:rFonts w:ascii="Times New Roman" w:hAnsi="Times New Roman"/>
        </w:rPr>
        <w:t>大类、</w:t>
      </w:r>
      <w:r w:rsidRPr="006B0513">
        <w:rPr>
          <w:rFonts w:ascii="Times New Roman" w:hAnsi="Times New Roman"/>
        </w:rPr>
        <w:t>10</w:t>
      </w:r>
      <w:r w:rsidRPr="006B0513">
        <w:rPr>
          <w:rFonts w:ascii="仿宋_GB2312" w:hAnsi="仿宋" w:hint="eastAsia"/>
        </w:rPr>
        <w:t>余项试验与检测的专业技术性人才，主要的就业去向是全国各文博单位或高等院校（主要招生有理工科基础的学生）。</w:t>
      </w:r>
    </w:p>
    <w:p w:rsidR="00716FB8" w:rsidRPr="006B0513" w:rsidRDefault="00716FB8" w:rsidP="00716FB8">
      <w:pPr>
        <w:spacing w:line="560" w:lineRule="exact"/>
        <w:ind w:firstLineChars="200" w:firstLine="704"/>
        <w:rPr>
          <w:rFonts w:ascii="仿宋_GB2312" w:hAnsi="仿宋" w:hint="eastAsia"/>
        </w:rPr>
      </w:pPr>
      <w:r w:rsidRPr="006B0513">
        <w:rPr>
          <w:rFonts w:ascii="仿宋_GB2312" w:hAnsi="仿宋" w:hint="eastAsia"/>
        </w:rPr>
        <w:t>博物馆学:以培养对博物馆学发展方向与趋势有着清楚把握和了解，拥有扎实的博物馆学基础，参与过博物馆的运营、策划、营销总体规划，能够从事博物馆展览的设计与解说，熟悉产品的展陈，馆藏文物的保管与入库，了解和实践过博物馆选址、博物馆的数字化建设、博物馆建筑的总体设计和投标等多方面博物馆实际工作的专业性综合人才，主要的就业去向是全国省、市及区县级博物馆及高校博物馆。</w:t>
      </w:r>
    </w:p>
    <w:p w:rsidR="00336F30" w:rsidRDefault="00336F30"/>
    <w:sectPr w:rsidR="00336F30" w:rsidSect="00336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icrosoft YaHei Mono"/>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FB8"/>
    <w:rsid w:val="00336F30"/>
    <w:rsid w:val="00716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B8"/>
    <w:pPr>
      <w:widowControl w:val="0"/>
      <w:jc w:val="both"/>
    </w:pPr>
    <w:rPr>
      <w:rFonts w:ascii="Calibri" w:eastAsia="仿宋_GB2312" w:hAnsi="Calibri" w:cs="Times New Roman"/>
      <w:sz w:val="32"/>
      <w:szCs w:val="32"/>
    </w:rPr>
  </w:style>
  <w:style w:type="paragraph" w:styleId="1">
    <w:name w:val="heading 1"/>
    <w:basedOn w:val="a"/>
    <w:next w:val="a"/>
    <w:link w:val="1Char"/>
    <w:uiPriority w:val="9"/>
    <w:qFormat/>
    <w:rsid w:val="00716F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1"/>
    <w:rsid w:val="00716FB8"/>
    <w:pPr>
      <w:snapToGrid w:val="0"/>
      <w:spacing w:before="240" w:after="240" w:line="348" w:lineRule="auto"/>
    </w:pPr>
    <w:rPr>
      <w:rFonts w:ascii="Tahoma" w:eastAsia="宋体" w:hAnsi="Tahoma"/>
      <w:bCs w:val="0"/>
      <w:kern w:val="2"/>
      <w:sz w:val="24"/>
      <w:szCs w:val="20"/>
    </w:rPr>
  </w:style>
  <w:style w:type="character" w:customStyle="1" w:styleId="1Char">
    <w:name w:val="标题 1 Char"/>
    <w:basedOn w:val="a0"/>
    <w:link w:val="1"/>
    <w:uiPriority w:val="9"/>
    <w:rsid w:val="00716FB8"/>
    <w:rPr>
      <w:rFonts w:ascii="Calibri" w:eastAsia="仿宋_GB2312"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2020-09-09T01:04:00Z</dcterms:created>
  <dcterms:modified xsi:type="dcterms:W3CDTF">2020-09-09T01:05:00Z</dcterms:modified>
</cp:coreProperties>
</file>