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sz w:val="30"/>
          <w:szCs w:val="30"/>
        </w:rPr>
      </w:pPr>
      <w:r>
        <w:rPr>
          <w:rFonts w:hint="eastAsia" w:ascii="宋体" w:hAnsi="宋体"/>
          <w:sz w:val="30"/>
          <w:szCs w:val="30"/>
        </w:rPr>
        <w:t>附件3：</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2020年度行政事业性国有资产分析报告</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提纲</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spacing w:line="360" w:lineRule="auto"/>
        <w:jc w:val="center"/>
        <w:rPr>
          <w:rFonts w:cs="华文中宋" w:asciiTheme="minorEastAsia" w:hAnsiTheme="minorEastAsia" w:eastAsiaTheme="minorEastAsia"/>
          <w:i/>
          <w:sz w:val="24"/>
          <w:szCs w:val="36"/>
        </w:rPr>
      </w:pPr>
      <w:r>
        <w:rPr>
          <w:rFonts w:hint="eastAsia" w:cs="华文中宋" w:asciiTheme="minorEastAsia" w:hAnsiTheme="minorEastAsia" w:eastAsiaTheme="minorEastAsia"/>
          <w:i/>
          <w:sz w:val="24"/>
          <w:szCs w:val="36"/>
        </w:rPr>
        <w:t>注：</w:t>
      </w:r>
      <w:r>
        <w:rPr>
          <w:rFonts w:cs="华文中宋" w:asciiTheme="minorEastAsia" w:hAnsiTheme="minorEastAsia" w:eastAsiaTheme="minorEastAsia"/>
          <w:i/>
          <w:sz w:val="24"/>
          <w:szCs w:val="36"/>
        </w:rPr>
        <w:t>正式</w:t>
      </w:r>
      <w:r>
        <w:rPr>
          <w:rFonts w:hint="eastAsia" w:cs="华文中宋" w:asciiTheme="minorEastAsia" w:hAnsiTheme="minorEastAsia" w:eastAsiaTheme="minorEastAsia"/>
          <w:i/>
          <w:sz w:val="24"/>
          <w:szCs w:val="36"/>
        </w:rPr>
        <w:t>分析</w:t>
      </w:r>
      <w:r>
        <w:rPr>
          <w:rFonts w:cs="华文中宋" w:asciiTheme="minorEastAsia" w:hAnsiTheme="minorEastAsia" w:eastAsiaTheme="minorEastAsia"/>
          <w:i/>
          <w:sz w:val="24"/>
          <w:szCs w:val="36"/>
        </w:rPr>
        <w:t>报告</w:t>
      </w:r>
      <w:r>
        <w:rPr>
          <w:rFonts w:hint="eastAsia" w:cs="华文中宋" w:asciiTheme="minorEastAsia" w:hAnsiTheme="minorEastAsia" w:eastAsiaTheme="minorEastAsia"/>
          <w:i/>
          <w:sz w:val="24"/>
          <w:szCs w:val="36"/>
        </w:rPr>
        <w:t>内容</w:t>
      </w:r>
      <w:r>
        <w:rPr>
          <w:rFonts w:cs="华文中宋" w:asciiTheme="minorEastAsia" w:hAnsiTheme="minorEastAsia" w:eastAsiaTheme="minorEastAsia"/>
          <w:i/>
          <w:sz w:val="24"/>
          <w:szCs w:val="36"/>
        </w:rPr>
        <w:t>可以包含</w:t>
      </w:r>
      <w:r>
        <w:rPr>
          <w:rFonts w:hint="eastAsia" w:cs="华文中宋" w:asciiTheme="minorEastAsia" w:hAnsiTheme="minorEastAsia" w:eastAsiaTheme="minorEastAsia"/>
          <w:i/>
          <w:sz w:val="24"/>
          <w:szCs w:val="36"/>
        </w:rPr>
        <w:t>，</w:t>
      </w:r>
      <w:r>
        <w:rPr>
          <w:rFonts w:cs="华文中宋" w:asciiTheme="minorEastAsia" w:hAnsiTheme="minorEastAsia" w:eastAsiaTheme="minorEastAsia"/>
          <w:i/>
          <w:sz w:val="24"/>
          <w:szCs w:val="36"/>
        </w:rPr>
        <w:t>但不限于</w:t>
      </w:r>
      <w:r>
        <w:rPr>
          <w:rFonts w:hint="eastAsia" w:cs="华文中宋" w:asciiTheme="minorEastAsia" w:hAnsiTheme="minorEastAsia" w:eastAsiaTheme="minorEastAsia"/>
          <w:i/>
          <w:sz w:val="24"/>
          <w:szCs w:val="36"/>
        </w:rPr>
        <w:t>本参考</w:t>
      </w:r>
      <w:r>
        <w:rPr>
          <w:rFonts w:cs="华文中宋" w:asciiTheme="minorEastAsia" w:hAnsiTheme="minorEastAsia" w:eastAsiaTheme="minorEastAsia"/>
          <w:i/>
          <w:sz w:val="24"/>
          <w:szCs w:val="36"/>
        </w:rPr>
        <w:t>格式</w:t>
      </w:r>
      <w:r>
        <w:rPr>
          <w:rFonts w:hint="eastAsia" w:cs="华文中宋" w:asciiTheme="minorEastAsia" w:hAnsiTheme="minorEastAsia" w:eastAsiaTheme="minorEastAsia"/>
          <w:i/>
          <w:sz w:val="24"/>
          <w:szCs w:val="36"/>
        </w:rPr>
        <w:t>中</w:t>
      </w:r>
      <w:r>
        <w:rPr>
          <w:rFonts w:cs="华文中宋" w:asciiTheme="minorEastAsia" w:hAnsiTheme="minorEastAsia" w:eastAsiaTheme="minorEastAsia"/>
          <w:i/>
          <w:sz w:val="24"/>
          <w:szCs w:val="36"/>
        </w:rPr>
        <w:t>的内容。</w:t>
      </w:r>
      <w:r>
        <w:rPr>
          <w:rFonts w:hint="eastAsia" w:cs="华文中宋" w:asciiTheme="minorEastAsia" w:hAnsiTheme="minorEastAsia" w:eastAsiaTheme="minorEastAsia"/>
          <w:i/>
          <w:sz w:val="24"/>
          <w:szCs w:val="36"/>
        </w:rPr>
        <w:t>各部门和</w:t>
      </w:r>
      <w:r>
        <w:rPr>
          <w:rFonts w:cs="华文中宋" w:asciiTheme="minorEastAsia" w:hAnsiTheme="minorEastAsia" w:eastAsiaTheme="minorEastAsia"/>
          <w:i/>
          <w:sz w:val="24"/>
          <w:szCs w:val="36"/>
        </w:rPr>
        <w:t>单位</w:t>
      </w:r>
      <w:r>
        <w:rPr>
          <w:rFonts w:hint="eastAsia" w:cs="华文中宋" w:asciiTheme="minorEastAsia" w:hAnsiTheme="minorEastAsia" w:eastAsiaTheme="minorEastAsia"/>
          <w:i/>
          <w:sz w:val="24"/>
          <w:szCs w:val="36"/>
        </w:rPr>
        <w:t>需结合</w:t>
      </w:r>
      <w:r>
        <w:rPr>
          <w:rFonts w:cs="华文中宋" w:asciiTheme="minorEastAsia" w:hAnsiTheme="minorEastAsia" w:eastAsiaTheme="minorEastAsia"/>
          <w:i/>
          <w:sz w:val="24"/>
          <w:szCs w:val="36"/>
        </w:rPr>
        <w:t>自身</w:t>
      </w:r>
      <w:r>
        <w:rPr>
          <w:rFonts w:hint="eastAsia" w:cs="华文中宋" w:asciiTheme="minorEastAsia" w:hAnsiTheme="minorEastAsia" w:eastAsiaTheme="minorEastAsia"/>
          <w:i/>
          <w:sz w:val="24"/>
          <w:szCs w:val="36"/>
        </w:rPr>
        <w:t>实际</w:t>
      </w:r>
      <w:r>
        <w:rPr>
          <w:rFonts w:cs="华文中宋" w:asciiTheme="minorEastAsia" w:hAnsiTheme="minorEastAsia" w:eastAsiaTheme="minorEastAsia"/>
          <w:i/>
          <w:sz w:val="24"/>
          <w:szCs w:val="36"/>
        </w:rPr>
        <w:t>情况，</w:t>
      </w:r>
      <w:r>
        <w:rPr>
          <w:rFonts w:hint="eastAsia" w:cs="华文中宋" w:asciiTheme="minorEastAsia" w:hAnsiTheme="minorEastAsia" w:eastAsiaTheme="minorEastAsia"/>
          <w:i/>
          <w:sz w:val="24"/>
          <w:szCs w:val="36"/>
        </w:rPr>
        <w:t>把握报告重点，认真起草行政事业单位国有资产分析报告。</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2020年度行政事业性国有资产分析报告提纲</w:t>
      </w:r>
    </w:p>
    <w:p>
      <w:pPr>
        <w:jc w:val="center"/>
        <w:rPr>
          <w:rFonts w:ascii="楷体_GB2312" w:eastAsia="楷体_GB2312"/>
          <w:sz w:val="28"/>
          <w:szCs w:val="28"/>
        </w:rPr>
      </w:pPr>
      <w:r>
        <w:rPr>
          <w:rFonts w:hint="eastAsia" w:ascii="楷体_GB2312" w:eastAsia="楷体_GB2312"/>
          <w:sz w:val="28"/>
          <w:szCs w:val="28"/>
        </w:rPr>
        <w:t>（行政事业单位参考格式）</w:t>
      </w:r>
    </w:p>
    <w:p>
      <w:pPr>
        <w:jc w:val="center"/>
        <w:rPr>
          <w:rFonts w:ascii="楷体_GB2312" w:eastAsia="楷体_GB2312"/>
          <w:sz w:val="24"/>
        </w:rPr>
      </w:pPr>
    </w:p>
    <w:p>
      <w:pPr>
        <w:ind w:firstLine="720" w:firstLineChars="225"/>
        <w:rPr>
          <w:rFonts w:ascii="仿宋_GB2312" w:eastAsia="仿宋_GB2312"/>
          <w:sz w:val="32"/>
          <w:szCs w:val="32"/>
        </w:rPr>
      </w:pPr>
      <w:r>
        <w:rPr>
          <w:rFonts w:hint="eastAsia" w:ascii="仿宋_GB2312" w:eastAsia="仿宋_GB2312"/>
          <w:sz w:val="32"/>
          <w:szCs w:val="32"/>
        </w:rPr>
        <w:t>为落实</w:t>
      </w:r>
      <w:r>
        <w:rPr>
          <w:rFonts w:ascii="仿宋_GB2312" w:eastAsia="仿宋_GB2312"/>
          <w:sz w:val="32"/>
          <w:szCs w:val="32"/>
        </w:rPr>
        <w:t>国有资产管理情况</w:t>
      </w:r>
      <w:r>
        <w:rPr>
          <w:rFonts w:hint="eastAsia" w:ascii="仿宋_GB2312" w:eastAsia="仿宋_GB2312"/>
          <w:sz w:val="32"/>
          <w:szCs w:val="32"/>
        </w:rPr>
        <w:t>报告制度</w:t>
      </w:r>
      <w:r>
        <w:rPr>
          <w:rFonts w:ascii="仿宋_GB2312" w:eastAsia="仿宋_GB2312"/>
          <w:sz w:val="32"/>
          <w:szCs w:val="32"/>
        </w:rPr>
        <w:t>，</w:t>
      </w:r>
      <w:r>
        <w:rPr>
          <w:rFonts w:hint="eastAsia" w:ascii="仿宋_GB2312" w:eastAsia="仿宋_GB2312"/>
          <w:sz w:val="32"/>
          <w:szCs w:val="32"/>
        </w:rPr>
        <w:t>根据《行政单位国有资产管理暂行办法》（财政部令第35号）、《</w:t>
      </w:r>
      <w:r>
        <w:rPr>
          <w:rFonts w:hint="eastAsia" w:ascii="仿宋_GB2312" w:eastAsia="仿宋_GB2312"/>
          <w:sz w:val="32"/>
          <w:szCs w:val="32"/>
          <w:lang w:eastAsia="zh-CN"/>
        </w:rPr>
        <w:t>财政部关于修改</w:t>
      </w:r>
      <w:r>
        <w:rPr>
          <w:rFonts w:hint="eastAsia" w:ascii="仿宋_GB2312" w:eastAsia="仿宋_GB2312"/>
          <w:sz w:val="32"/>
          <w:szCs w:val="32"/>
          <w:lang w:val="en-US" w:eastAsia="zh-CN"/>
        </w:rPr>
        <w:t>&lt;</w:t>
      </w:r>
      <w:r>
        <w:rPr>
          <w:rFonts w:hint="eastAsia" w:ascii="仿宋_GB2312" w:eastAsia="仿宋_GB2312"/>
          <w:sz w:val="32"/>
          <w:szCs w:val="32"/>
        </w:rPr>
        <w:t>事业单位国有资产管理暂行办法</w:t>
      </w:r>
      <w:r>
        <w:rPr>
          <w:rFonts w:hint="eastAsia" w:ascii="仿宋_GB2312" w:eastAsia="仿宋_GB2312"/>
          <w:sz w:val="32"/>
          <w:szCs w:val="32"/>
          <w:lang w:val="en-US" w:eastAsia="zh-CN"/>
        </w:rPr>
        <w:t>&gt;</w:t>
      </w:r>
      <w:r>
        <w:rPr>
          <w:rFonts w:hint="eastAsia" w:ascii="仿宋_GB2312" w:eastAsia="仿宋_GB2312"/>
          <w:sz w:val="32"/>
          <w:szCs w:val="32"/>
          <w:lang w:eastAsia="zh-CN"/>
        </w:rPr>
        <w:t>的决定</w:t>
      </w:r>
      <w:r>
        <w:rPr>
          <w:rFonts w:hint="eastAsia" w:ascii="仿宋_GB2312" w:eastAsia="仿宋_GB2312"/>
          <w:sz w:val="32"/>
          <w:szCs w:val="32"/>
        </w:rPr>
        <w:t>》（财政部令第</w:t>
      </w:r>
      <w:r>
        <w:rPr>
          <w:rFonts w:hint="default" w:ascii="仿宋_GB2312" w:eastAsia="仿宋_GB2312"/>
          <w:sz w:val="32"/>
          <w:szCs w:val="32"/>
          <w:lang w:val="en"/>
        </w:rPr>
        <w:t>100</w:t>
      </w:r>
      <w:r>
        <w:rPr>
          <w:rFonts w:hint="eastAsia" w:ascii="仿宋_GB2312" w:eastAsia="仿宋_GB2312"/>
          <w:sz w:val="32"/>
          <w:szCs w:val="32"/>
        </w:rPr>
        <w:t>号）和《行政事业单位国有资产报告制度》等有关规定，</w:t>
      </w:r>
      <w:r>
        <w:rPr>
          <w:rFonts w:hint="eastAsia" w:ascii="仿宋_GB2312" w:hAnsi="仿宋" w:eastAsia="仿宋_GB2312"/>
          <w:color w:val="000000"/>
          <w:sz w:val="32"/>
          <w:szCs w:val="32"/>
        </w:rPr>
        <w:t>现</w:t>
      </w:r>
      <w:r>
        <w:rPr>
          <w:rFonts w:hint="eastAsia" w:ascii="仿宋_GB2312" w:eastAsia="仿宋_GB2312"/>
          <w:sz w:val="32"/>
          <w:szCs w:val="32"/>
        </w:rPr>
        <w:t>对我单位本年度</w:t>
      </w:r>
      <w:r>
        <w:rPr>
          <w:rFonts w:hint="eastAsia" w:ascii="仿宋_GB2312" w:hAnsi="仿宋" w:eastAsia="仿宋_GB2312"/>
          <w:color w:val="000000"/>
          <w:sz w:val="32"/>
          <w:szCs w:val="32"/>
        </w:rPr>
        <w:t>资产占有</w:t>
      </w:r>
      <w:r>
        <w:rPr>
          <w:rFonts w:ascii="仿宋_GB2312" w:hAnsi="仿宋" w:eastAsia="仿宋_GB2312"/>
          <w:color w:val="000000"/>
          <w:sz w:val="32"/>
          <w:szCs w:val="32"/>
        </w:rPr>
        <w:t>、</w:t>
      </w:r>
      <w:r>
        <w:rPr>
          <w:rFonts w:hint="eastAsia" w:ascii="仿宋_GB2312" w:hAnsi="仿宋" w:eastAsia="仿宋_GB2312"/>
          <w:color w:val="000000"/>
          <w:sz w:val="32"/>
          <w:szCs w:val="32"/>
        </w:rPr>
        <w:t>使用、变动以及管理情况等分析报告</w:t>
      </w:r>
      <w:r>
        <w:rPr>
          <w:rFonts w:ascii="仿宋_GB2312" w:hAnsi="仿宋" w:eastAsia="仿宋_GB2312"/>
          <w:color w:val="000000"/>
          <w:sz w:val="32"/>
          <w:szCs w:val="32"/>
        </w:rPr>
        <w:t>如下</w:t>
      </w:r>
      <w:r>
        <w:rPr>
          <w:rFonts w:hint="eastAsia" w:ascii="仿宋_GB2312" w:hAnsi="仿宋" w:eastAsia="仿宋_GB2312"/>
          <w:color w:val="000000"/>
          <w:sz w:val="32"/>
          <w:szCs w:val="32"/>
        </w:rPr>
        <w:t>：</w:t>
      </w:r>
    </w:p>
    <w:p>
      <w:pPr>
        <w:ind w:firstLine="675" w:firstLineChars="225"/>
        <w:rPr>
          <w:rFonts w:ascii="黑体" w:hAnsi="黑体" w:eastAsia="黑体"/>
          <w:sz w:val="30"/>
          <w:szCs w:val="30"/>
        </w:rPr>
      </w:pPr>
      <w:r>
        <w:rPr>
          <w:rFonts w:hint="eastAsia" w:ascii="黑体" w:hAnsi="黑体" w:eastAsia="黑体"/>
          <w:sz w:val="30"/>
          <w:szCs w:val="30"/>
        </w:rPr>
        <w:t>一、单位基本情况</w:t>
      </w:r>
    </w:p>
    <w:p>
      <w:pPr>
        <w:ind w:firstLine="720" w:firstLineChars="225"/>
        <w:rPr>
          <w:rFonts w:ascii="仿宋_GB2312" w:eastAsia="仿宋_GB2312"/>
          <w:sz w:val="32"/>
          <w:szCs w:val="32"/>
        </w:rPr>
      </w:pPr>
      <w:r>
        <w:rPr>
          <w:rFonts w:hint="eastAsia" w:ascii="仿宋_GB2312" w:eastAsia="仿宋_GB2312"/>
          <w:sz w:val="32"/>
          <w:szCs w:val="32"/>
        </w:rPr>
        <w:t>说明单位性质、财务隶属关系、资产管理部门（岗位）设置情况、执行财务会计制度情况、单位人员情况、预算收支情况等基本情况。</w:t>
      </w:r>
    </w:p>
    <w:p>
      <w:pPr>
        <w:tabs>
          <w:tab w:val="left" w:pos="8595"/>
        </w:tabs>
        <w:spacing w:line="360" w:lineRule="auto"/>
        <w:ind w:firstLine="600" w:firstLineChars="200"/>
        <w:rPr>
          <w:rFonts w:ascii="黑体" w:hAnsi="黑体" w:eastAsia="黑体"/>
          <w:bCs/>
          <w:kern w:val="0"/>
          <w:sz w:val="30"/>
          <w:szCs w:val="30"/>
        </w:rPr>
      </w:pPr>
      <w:r>
        <w:rPr>
          <w:rFonts w:hint="eastAsia" w:ascii="黑体" w:hAnsi="黑体" w:eastAsia="黑体"/>
          <w:bCs/>
          <w:kern w:val="0"/>
          <w:sz w:val="30"/>
          <w:szCs w:val="30"/>
        </w:rPr>
        <w:t>二、资产情况分析</w:t>
      </w:r>
    </w:p>
    <w:p>
      <w:pPr>
        <w:ind w:firstLine="722" w:firstLineChars="225"/>
        <w:rPr>
          <w:rFonts w:ascii="仿宋_GB2312" w:eastAsia="仿宋_GB2312"/>
          <w:sz w:val="32"/>
          <w:szCs w:val="32"/>
        </w:rPr>
      </w:pPr>
      <w:r>
        <w:rPr>
          <w:rFonts w:hint="eastAsia" w:ascii="楷体_GB2312" w:hAnsi="楷体" w:eastAsia="楷体_GB2312"/>
          <w:b/>
          <w:kern w:val="0"/>
          <w:sz w:val="32"/>
          <w:szCs w:val="32"/>
        </w:rPr>
        <w:t>（一）分析资产总量、变动、构成情况。</w:t>
      </w:r>
      <w:r>
        <w:rPr>
          <w:rFonts w:hint="eastAsia" w:ascii="仿宋_GB2312" w:eastAsia="仿宋_GB2312"/>
          <w:sz w:val="32"/>
          <w:szCs w:val="32"/>
        </w:rPr>
        <w:t>其中，资产构成情况应包含流动资产、固定资产、无形资产、在建工程、公共基础设施、政府储备物资、文物文化资产、保障性住房等占资产总额比例情况，固定资产占比中应包含房屋、车辆、50万元以上通用设备、100万元以上专用设备占固定资产总额比例等主要指标分析（可用饼图、柱图、折线图和表格）；资产变动情况应包含总资产、流动资产、固定资产、在建工程、无形资产、公共基础设施、政府储备物资、文物文化资产、保障性住房等增长率情况。</w:t>
      </w:r>
    </w:p>
    <w:p>
      <w:pPr>
        <w:ind w:firstLine="722" w:firstLineChars="225"/>
        <w:rPr>
          <w:rFonts w:ascii="仿宋_GB2312" w:eastAsia="仿宋_GB2312"/>
          <w:sz w:val="32"/>
          <w:szCs w:val="32"/>
        </w:rPr>
      </w:pPr>
      <w:r>
        <w:rPr>
          <w:rFonts w:hint="eastAsia" w:ascii="楷体_GB2312" w:hAnsi="楷体" w:eastAsia="楷体_GB2312"/>
          <w:b/>
          <w:kern w:val="0"/>
          <w:sz w:val="32"/>
          <w:szCs w:val="32"/>
        </w:rPr>
        <w:t>（二）分析本单位资产的配置、使用、处置、收益等情况。</w:t>
      </w:r>
      <w:r>
        <w:rPr>
          <w:rFonts w:hint="eastAsia" w:ascii="仿宋_GB2312" w:eastAsia="仿宋_GB2312"/>
          <w:sz w:val="32"/>
          <w:szCs w:val="32"/>
        </w:rPr>
        <w:t>其中，资产配置情况应包含本期配置固定资产、无形资产和在建工程情况；资产使用情况应包含本期新增出租出借资产及对外投资情况；资产收益情况应包含利用国有资产对外投资、出租出借或处置国有资产取得的收益情况（可用饼图、柱图、折线图和表格）。</w:t>
      </w:r>
    </w:p>
    <w:p>
      <w:pPr>
        <w:ind w:firstLine="722" w:firstLineChars="225"/>
        <w:rPr>
          <w:rFonts w:ascii="楷体_GB2312" w:hAnsi="楷体" w:eastAsia="楷体_GB2312"/>
          <w:b/>
          <w:kern w:val="0"/>
          <w:sz w:val="32"/>
          <w:szCs w:val="32"/>
        </w:rPr>
      </w:pPr>
      <w:r>
        <w:rPr>
          <w:rFonts w:hint="eastAsia" w:ascii="楷体_GB2312" w:hAnsi="楷体" w:eastAsia="楷体_GB2312"/>
          <w:b/>
          <w:kern w:val="0"/>
          <w:sz w:val="32"/>
          <w:szCs w:val="32"/>
        </w:rPr>
        <w:t>（三）分析本单位重点资产情况。</w:t>
      </w:r>
      <w:r>
        <w:rPr>
          <w:rFonts w:hint="eastAsia" w:ascii="仿宋_GB2312" w:eastAsia="仿宋_GB2312"/>
          <w:sz w:val="32"/>
          <w:szCs w:val="32"/>
        </w:rPr>
        <w:t>包括土地、房屋、车辆、在建工程等资产的存量、配置、使用、处置情况（可用饼图、柱图、折线图和表格）；公共基础设施、政府储备物资、文物文化资产、保障性住房的登记入账情况，对配置、处置、担保及重大损失等情况进行详细说明；有土地证的土地面积占土地总面积比、有房产证的房屋面积占房屋总面积比、车改保留车辆占车辆实有数量比、已投入使用6个月以上未转固在建工程价值占在建工程总价值比等主要指标分析。</w:t>
      </w:r>
    </w:p>
    <w:p>
      <w:pPr>
        <w:tabs>
          <w:tab w:val="left" w:pos="8595"/>
        </w:tabs>
        <w:ind w:firstLine="642" w:firstLineChars="200"/>
        <w:rPr>
          <w:rFonts w:ascii="楷体_GB2312" w:hAnsi="楷体" w:eastAsia="仿宋_GB2312"/>
          <w:b/>
          <w:kern w:val="0"/>
          <w:sz w:val="32"/>
          <w:szCs w:val="32"/>
        </w:rPr>
      </w:pPr>
      <w:r>
        <w:rPr>
          <w:rFonts w:hint="eastAsia" w:ascii="楷体_GB2312" w:hAnsi="楷体" w:eastAsia="楷体_GB2312"/>
          <w:b/>
          <w:kern w:val="0"/>
          <w:sz w:val="32"/>
          <w:szCs w:val="32"/>
        </w:rPr>
        <w:t>（四）分析本单位资产绩效情况。</w:t>
      </w:r>
      <w:r>
        <w:rPr>
          <w:rFonts w:hint="eastAsia" w:ascii="仿宋_GB2312" w:eastAsia="仿宋_GB2312"/>
          <w:sz w:val="32"/>
          <w:szCs w:val="32"/>
        </w:rPr>
        <w:t>包括单位资产配置效率和使用效益、资产存量盘活和共享共用情况、资产保值增值情况等。其中，资产配置效率应包含人均占有办公室使用面积、人均占有通用设备数量等主要指标分析。资产使用效益应包含资产成新率、闲置率、出租出借收益率、对外投资收益率等主要指标分析。公共基础设施、政府储备物资、文物文化资产、保障性住房应包含资产入账率、增长率、运营效率等主要指标分析。</w:t>
      </w:r>
    </w:p>
    <w:p>
      <w:pPr>
        <w:pStyle w:val="17"/>
        <w:numPr>
          <w:ilvl w:val="0"/>
          <w:numId w:val="1"/>
        </w:numPr>
        <w:ind w:firstLineChars="0"/>
        <w:rPr>
          <w:rFonts w:ascii="黑体" w:hAnsi="黑体" w:eastAsia="黑体"/>
          <w:sz w:val="32"/>
          <w:szCs w:val="32"/>
        </w:rPr>
      </w:pPr>
      <w:r>
        <w:rPr>
          <w:rFonts w:hint="eastAsia" w:ascii="黑体" w:hAnsi="黑体" w:eastAsia="黑体"/>
          <w:sz w:val="32"/>
          <w:szCs w:val="32"/>
        </w:rPr>
        <w:t>资产管理工作情况及成效</w:t>
      </w:r>
    </w:p>
    <w:p>
      <w:pPr>
        <w:pStyle w:val="17"/>
        <w:ind w:left="159" w:leftChars="76" w:firstLine="640"/>
        <w:rPr>
          <w:rFonts w:ascii="仿宋_GB2312" w:hAnsi="楷体" w:eastAsia="仿宋_GB2312"/>
          <w:kern w:val="0"/>
          <w:sz w:val="32"/>
          <w:szCs w:val="32"/>
        </w:rPr>
      </w:pPr>
      <w:r>
        <w:rPr>
          <w:rFonts w:hint="eastAsia" w:ascii="仿宋_GB2312" w:hAnsi="楷体" w:eastAsia="仿宋_GB2312"/>
          <w:kern w:val="0"/>
          <w:sz w:val="32"/>
          <w:szCs w:val="32"/>
        </w:rPr>
        <w:t>（一）认真总结本单位行政事业性国有资产管理在制度制定、基础管理、配置使用和处置全流程管理以及信息化建设等方面的情况，重点反映在提高资产运行绩效、加强调剂共享情况、强化固定资产管理等方面的各项举措。</w:t>
      </w:r>
    </w:p>
    <w:p>
      <w:pPr>
        <w:pStyle w:val="17"/>
        <w:ind w:left="159" w:leftChars="76" w:firstLine="640"/>
        <w:rPr>
          <w:rFonts w:ascii="仿宋_GB2312" w:hAnsi="华文仿宋" w:eastAsia="仿宋_GB2312" w:cs="华文仿宋"/>
          <w:kern w:val="0"/>
          <w:sz w:val="32"/>
          <w:szCs w:val="32"/>
        </w:rPr>
      </w:pPr>
      <w:r>
        <w:rPr>
          <w:rFonts w:hint="eastAsia" w:ascii="仿宋_GB2312" w:hAnsi="楷体" w:eastAsia="仿宋_GB2312"/>
          <w:kern w:val="0"/>
          <w:sz w:val="32"/>
          <w:szCs w:val="32"/>
        </w:rPr>
        <w:t>（二）全面反映本单位行政事业性国有资产管理在贯彻落实党中央、国务院决策部署，保障单位正常运转</w:t>
      </w:r>
      <w:r>
        <w:rPr>
          <w:rFonts w:hint="eastAsia" w:ascii="仿宋_GB2312" w:hAnsi="华文仿宋" w:eastAsia="仿宋_GB2312" w:cs="华文仿宋"/>
          <w:kern w:val="0"/>
          <w:sz w:val="32"/>
          <w:szCs w:val="32"/>
        </w:rPr>
        <w:t>，</w:t>
      </w:r>
      <w:r>
        <w:rPr>
          <w:rFonts w:hint="eastAsia" w:ascii="仿宋_GB2312" w:hAnsi="楷体" w:eastAsia="仿宋_GB2312"/>
          <w:kern w:val="0"/>
          <w:sz w:val="32"/>
          <w:szCs w:val="32"/>
        </w:rPr>
        <w:t>提供社会</w:t>
      </w:r>
      <w:r>
        <w:rPr>
          <w:rFonts w:hint="eastAsia" w:ascii="仿宋_GB2312" w:hAnsi="华文仿宋" w:eastAsia="仿宋_GB2312" w:cs="华文仿宋"/>
          <w:kern w:val="0"/>
          <w:sz w:val="32"/>
          <w:szCs w:val="32"/>
        </w:rPr>
        <w:t>公共服务以及</w:t>
      </w:r>
      <w:r>
        <w:rPr>
          <w:rFonts w:hint="eastAsia" w:ascii="仿宋_GB2312" w:hAnsi="楷体" w:eastAsia="仿宋_GB2312"/>
          <w:kern w:val="0"/>
          <w:sz w:val="32"/>
          <w:szCs w:val="32"/>
        </w:rPr>
        <w:t>推进行政事业单位各项改革</w:t>
      </w:r>
      <w:r>
        <w:rPr>
          <w:rFonts w:hint="eastAsia" w:ascii="仿宋_GB2312" w:hAnsi="华文仿宋" w:eastAsia="仿宋_GB2312" w:cs="华文仿宋"/>
          <w:kern w:val="0"/>
          <w:sz w:val="32"/>
          <w:szCs w:val="32"/>
        </w:rPr>
        <w:t>等方面所发挥的</w:t>
      </w:r>
      <w:r>
        <w:rPr>
          <w:rFonts w:hint="eastAsia" w:ascii="仿宋_GB2312" w:hAnsi="楷体" w:eastAsia="仿宋_GB2312"/>
          <w:kern w:val="0"/>
          <w:sz w:val="32"/>
          <w:szCs w:val="32"/>
        </w:rPr>
        <w:t>积极</w:t>
      </w:r>
      <w:r>
        <w:rPr>
          <w:rFonts w:hint="eastAsia" w:ascii="仿宋_GB2312" w:hAnsi="华文仿宋" w:eastAsia="仿宋_GB2312" w:cs="华文仿宋"/>
          <w:kern w:val="0"/>
          <w:sz w:val="32"/>
          <w:szCs w:val="32"/>
        </w:rPr>
        <w:t>作用。</w:t>
      </w:r>
      <w:r>
        <w:rPr>
          <w:rFonts w:hint="eastAsia" w:ascii="仿宋_GB2312" w:hAnsi="楷体" w:eastAsia="仿宋_GB2312"/>
          <w:kern w:val="0"/>
          <w:sz w:val="32"/>
          <w:szCs w:val="32"/>
        </w:rPr>
        <w:t>教育、卫生、文化、科技等单位要重点反映</w:t>
      </w:r>
      <w:r>
        <w:rPr>
          <w:rFonts w:hint="eastAsia" w:ascii="仿宋_GB2312" w:hAnsi="华文仿宋" w:eastAsia="仿宋_GB2312" w:cs="华文仿宋"/>
          <w:kern w:val="0"/>
          <w:sz w:val="32"/>
          <w:szCs w:val="32"/>
        </w:rPr>
        <w:t>行政事业性国有资产在抗击新冠肺炎疫情、促进公共服务均等化、助力脱贫攻坚</w:t>
      </w:r>
      <w:r>
        <w:rPr>
          <w:rFonts w:hint="eastAsia" w:ascii="仿宋_GB2312" w:hAnsi="华文仿宋" w:eastAsia="仿宋_GB2312" w:cs="华文仿宋"/>
          <w:kern w:val="0"/>
          <w:sz w:val="32"/>
          <w:szCs w:val="32"/>
          <w:lang w:eastAsia="zh-CN"/>
        </w:rPr>
        <w:t>、提升创新能力</w:t>
      </w:r>
      <w:r>
        <w:rPr>
          <w:rFonts w:hint="eastAsia" w:ascii="仿宋_GB2312" w:hAnsi="华文仿宋" w:eastAsia="仿宋_GB2312" w:cs="华文仿宋"/>
          <w:kern w:val="0"/>
          <w:sz w:val="32"/>
          <w:szCs w:val="32"/>
        </w:rPr>
        <w:t>等工作中发挥的作用。</w:t>
      </w:r>
    </w:p>
    <w:p>
      <w:pPr>
        <w:pStyle w:val="17"/>
        <w:ind w:left="159" w:leftChars="76" w:firstLine="640"/>
        <w:rPr>
          <w:rFonts w:ascii="仿宋_GB2312" w:hAnsi="楷体" w:eastAsia="仿宋_GB2312"/>
          <w:kern w:val="0"/>
          <w:sz w:val="32"/>
          <w:szCs w:val="32"/>
        </w:rPr>
      </w:pPr>
      <w:r>
        <w:rPr>
          <w:rFonts w:hint="eastAsia" w:ascii="仿宋_GB2312" w:hAnsi="华文仿宋" w:eastAsia="仿宋_GB2312" w:cs="华文仿宋"/>
          <w:kern w:val="0"/>
          <w:sz w:val="32"/>
          <w:szCs w:val="32"/>
        </w:rPr>
        <w:t>（三）</w:t>
      </w:r>
      <w:r>
        <w:rPr>
          <w:rFonts w:hint="eastAsia" w:ascii="仿宋_GB2312" w:hAnsi="楷体" w:eastAsia="仿宋_GB2312"/>
          <w:kern w:val="0"/>
          <w:sz w:val="32"/>
          <w:szCs w:val="32"/>
        </w:rPr>
        <w:t>涉及公共基础设施等行政事业性国有资产管理的单位要对该部分资产管理情况进行全面总结；涉及所办企业的单位要对截至2020年12月31日的所办企业管理情况进行全面总结。</w:t>
      </w:r>
    </w:p>
    <w:p>
      <w:pPr>
        <w:pStyle w:val="17"/>
        <w:ind w:left="159" w:leftChars="76" w:firstLine="640"/>
        <w:rPr>
          <w:rFonts w:ascii="华文仿宋" w:hAnsi="华文仿宋" w:eastAsia="华文仿宋" w:cs="华文仿宋"/>
          <w:kern w:val="0"/>
          <w:sz w:val="32"/>
          <w:szCs w:val="32"/>
        </w:rPr>
      </w:pPr>
      <w:r>
        <w:rPr>
          <w:rFonts w:hint="eastAsia" w:ascii="仿宋_GB2312" w:eastAsia="仿宋_GB2312"/>
          <w:sz w:val="32"/>
          <w:szCs w:val="32"/>
        </w:rPr>
        <w:t>（四）全面梳理</w:t>
      </w:r>
      <w:r>
        <w:rPr>
          <w:rFonts w:hint="eastAsia" w:ascii="仿宋_GB2312" w:hAnsi="华文仿宋" w:eastAsia="仿宋_GB2312" w:cs="华文仿宋"/>
          <w:bCs/>
          <w:kern w:val="0"/>
          <w:sz w:val="32"/>
          <w:szCs w:val="32"/>
        </w:rPr>
        <w:t>人大审议、审计、巡视等提出的资产管理问题和建议，总结整改措施和整改进展情况。</w:t>
      </w:r>
    </w:p>
    <w:p>
      <w:pPr>
        <w:pStyle w:val="17"/>
        <w:ind w:left="159" w:leftChars="76" w:firstLine="640"/>
        <w:rPr>
          <w:rFonts w:ascii="黑体" w:hAnsi="黑体" w:eastAsia="黑体"/>
          <w:sz w:val="32"/>
          <w:szCs w:val="32"/>
        </w:rPr>
      </w:pPr>
      <w:r>
        <w:rPr>
          <w:rFonts w:hint="eastAsia" w:ascii="黑体" w:hAnsi="黑体" w:eastAsia="黑体"/>
          <w:sz w:val="32"/>
          <w:szCs w:val="32"/>
        </w:rPr>
        <w:t>四、资产管理工作存在的问题及下一步工作思路</w:t>
      </w:r>
    </w:p>
    <w:p>
      <w:pPr>
        <w:ind w:firstLine="640" w:firstLineChars="200"/>
        <w:rPr>
          <w:rFonts w:ascii="黑体" w:hAnsi="黑体" w:eastAsia="黑体"/>
          <w:sz w:val="32"/>
          <w:szCs w:val="32"/>
        </w:rPr>
      </w:pPr>
      <w:r>
        <w:rPr>
          <w:rFonts w:hint="eastAsia" w:ascii="仿宋_GB2312" w:eastAsia="仿宋_GB2312"/>
          <w:sz w:val="32"/>
          <w:szCs w:val="32"/>
        </w:rPr>
        <w:t>对照现有制度，结合《财政部关于加强行政事业单位固定资产管理的通知》等</w:t>
      </w:r>
      <w:r>
        <w:rPr>
          <w:rFonts w:ascii="仿宋_GB2312" w:eastAsia="仿宋_GB2312"/>
          <w:sz w:val="32"/>
          <w:szCs w:val="32"/>
        </w:rPr>
        <w:t>文件要求，</w:t>
      </w:r>
      <w:r>
        <w:rPr>
          <w:rFonts w:hint="eastAsia" w:ascii="仿宋_GB2312" w:eastAsia="仿宋_GB2312"/>
          <w:sz w:val="32"/>
          <w:szCs w:val="32"/>
        </w:rPr>
        <w:t>对资产管理各方面存在的问题进行梳理和自查，提出下一步推进资产管理的工作思路。重点就加强固定资产管理、规范公共基础设施类资产会计核算、推进在建工程转固等方面提出工作措施。</w:t>
      </w:r>
    </w:p>
    <w:p>
      <w:pPr>
        <w:pStyle w:val="16"/>
        <w:spacing w:line="360" w:lineRule="auto"/>
        <w:ind w:firstLine="640"/>
        <w:rPr>
          <w:rFonts w:ascii="黑体" w:eastAsia="黑体"/>
          <w:sz w:val="32"/>
          <w:szCs w:val="32"/>
        </w:rPr>
      </w:pPr>
      <w:r>
        <w:rPr>
          <w:rFonts w:hint="eastAsia" w:ascii="黑体" w:hAnsi="仿宋" w:eastAsia="黑体"/>
          <w:color w:val="000000"/>
          <w:sz w:val="32"/>
          <w:szCs w:val="32"/>
          <w:lang w:eastAsia="zh-CN"/>
        </w:rPr>
        <w:t>五</w:t>
      </w:r>
      <w:bookmarkStart w:id="0" w:name="_GoBack"/>
      <w:bookmarkEnd w:id="0"/>
      <w:r>
        <w:rPr>
          <w:rFonts w:hint="eastAsia" w:ascii="黑体" w:hAnsi="仿宋" w:eastAsia="黑体"/>
          <w:color w:val="000000"/>
          <w:sz w:val="32"/>
          <w:szCs w:val="32"/>
        </w:rPr>
        <w:t>、其他需要报告的重要事项</w:t>
      </w:r>
    </w:p>
    <w:p>
      <w:pPr>
        <w:ind w:firstLine="640" w:firstLineChars="200"/>
        <w:rPr>
          <w:rFonts w:ascii="仿宋_GB2312" w:eastAsia="仿宋_GB2312"/>
          <w:sz w:val="32"/>
          <w:szCs w:val="32"/>
        </w:rPr>
      </w:pPr>
      <w:r>
        <w:rPr>
          <w:rFonts w:hint="eastAsia" w:ascii="仿宋_GB2312" w:eastAsia="仿宋_GB2312"/>
          <w:sz w:val="32"/>
          <w:szCs w:val="32"/>
        </w:rPr>
        <w:t>对本单位财产损失、权属</w:t>
      </w:r>
      <w:r>
        <w:rPr>
          <w:rFonts w:ascii="仿宋_GB2312" w:eastAsia="仿宋_GB2312"/>
          <w:sz w:val="32"/>
          <w:szCs w:val="32"/>
        </w:rPr>
        <w:t>不清晰的</w:t>
      </w:r>
      <w:r>
        <w:rPr>
          <w:rFonts w:hint="eastAsia" w:ascii="仿宋_GB2312" w:eastAsia="仿宋_GB2312"/>
          <w:sz w:val="32"/>
          <w:szCs w:val="32"/>
        </w:rPr>
        <w:t>重要</w:t>
      </w:r>
      <w:r>
        <w:rPr>
          <w:rFonts w:ascii="仿宋_GB2312" w:eastAsia="仿宋_GB2312"/>
          <w:sz w:val="32"/>
          <w:szCs w:val="32"/>
        </w:rPr>
        <w:t>资产情况</w:t>
      </w:r>
      <w:r>
        <w:rPr>
          <w:rFonts w:hint="eastAsia" w:ascii="仿宋_GB2312" w:eastAsia="仿宋_GB2312"/>
          <w:sz w:val="32"/>
          <w:szCs w:val="32"/>
        </w:rPr>
        <w:t>以及其他重要事项进行详细分析说明。</w:t>
      </w:r>
    </w:p>
    <w:p>
      <w:pPr>
        <w:pageBreakBefore/>
        <w:jc w:val="center"/>
        <w:rPr>
          <w:rFonts w:ascii="华文中宋" w:hAnsi="华文中宋" w:eastAsia="华文中宋" w:cs="华文中宋"/>
          <w:sz w:val="36"/>
          <w:szCs w:val="36"/>
        </w:rPr>
      </w:pPr>
      <w:r>
        <w:rPr>
          <w:rFonts w:hint="eastAsia" w:ascii="华文中宋" w:hAnsi="华文中宋" w:eastAsia="华文中宋" w:cs="华文中宋"/>
          <w:sz w:val="36"/>
          <w:szCs w:val="36"/>
        </w:rPr>
        <w:t>2020年度行政事业性国有资产分析报告提纲</w:t>
      </w:r>
    </w:p>
    <w:p>
      <w:pPr>
        <w:spacing w:line="360" w:lineRule="auto"/>
        <w:jc w:val="center"/>
        <w:rPr>
          <w:rFonts w:ascii="楷体_GB2312" w:hAnsi="楷体_GB2312" w:eastAsia="楷体_GB2312"/>
          <w:sz w:val="28"/>
          <w:szCs w:val="28"/>
        </w:rPr>
      </w:pPr>
      <w:r>
        <w:rPr>
          <w:rFonts w:hint="eastAsia" w:ascii="楷体_GB2312" w:hAnsi="楷体_GB2312" w:eastAsia="楷体_GB2312"/>
          <w:sz w:val="28"/>
          <w:szCs w:val="28"/>
        </w:rPr>
        <w:t>（地方财政部门/主管部门参考格式）</w:t>
      </w:r>
    </w:p>
    <w:p>
      <w:pPr>
        <w:spacing w:line="360" w:lineRule="auto"/>
        <w:ind w:firstLine="480" w:firstLineChars="200"/>
        <w:rPr>
          <w:rFonts w:ascii="宋体" w:hAnsi="宋体"/>
          <w:sz w:val="24"/>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为适应</w:t>
      </w:r>
      <w:r>
        <w:rPr>
          <w:rFonts w:ascii="仿宋_GB2312" w:eastAsia="仿宋_GB2312"/>
          <w:sz w:val="32"/>
          <w:szCs w:val="32"/>
        </w:rPr>
        <w:t>向全国人大常委会报告国有资产管理情况工作的要求，</w:t>
      </w:r>
      <w:r>
        <w:rPr>
          <w:rFonts w:hint="eastAsia" w:ascii="仿宋_GB2312" w:eastAsia="仿宋_GB2312"/>
          <w:sz w:val="32"/>
          <w:szCs w:val="32"/>
        </w:rPr>
        <w:t>根据《行政单位国有资产管理暂行办法》（财政部令第35号）、《</w:t>
      </w:r>
      <w:r>
        <w:rPr>
          <w:rFonts w:hint="eastAsia" w:ascii="仿宋_GB2312" w:eastAsia="仿宋_GB2312"/>
          <w:sz w:val="32"/>
          <w:szCs w:val="32"/>
          <w:lang w:eastAsia="zh-CN"/>
        </w:rPr>
        <w:t>财政部关于修改</w:t>
      </w:r>
      <w:r>
        <w:rPr>
          <w:rFonts w:hint="eastAsia" w:ascii="仿宋_GB2312" w:eastAsia="仿宋_GB2312"/>
          <w:sz w:val="32"/>
          <w:szCs w:val="32"/>
          <w:lang w:val="en-US" w:eastAsia="zh-CN"/>
        </w:rPr>
        <w:t>&lt;</w:t>
      </w:r>
      <w:r>
        <w:rPr>
          <w:rFonts w:hint="eastAsia" w:ascii="仿宋_GB2312" w:eastAsia="仿宋_GB2312"/>
          <w:sz w:val="32"/>
          <w:szCs w:val="32"/>
        </w:rPr>
        <w:t>事业单位国有资产管理暂行办法</w:t>
      </w:r>
      <w:r>
        <w:rPr>
          <w:rFonts w:hint="eastAsia" w:ascii="仿宋_GB2312" w:eastAsia="仿宋_GB2312"/>
          <w:sz w:val="32"/>
          <w:szCs w:val="32"/>
          <w:lang w:val="en-US" w:eastAsia="zh-CN"/>
        </w:rPr>
        <w:t>&gt;</w:t>
      </w:r>
      <w:r>
        <w:rPr>
          <w:rFonts w:hint="eastAsia" w:ascii="仿宋_GB2312" w:eastAsia="仿宋_GB2312"/>
          <w:sz w:val="32"/>
          <w:szCs w:val="32"/>
          <w:lang w:eastAsia="zh-CN"/>
        </w:rPr>
        <w:t>的决定</w:t>
      </w:r>
      <w:r>
        <w:rPr>
          <w:rFonts w:hint="eastAsia" w:ascii="仿宋_GB2312" w:eastAsia="仿宋_GB2312"/>
          <w:sz w:val="32"/>
          <w:szCs w:val="32"/>
        </w:rPr>
        <w:t>》（财政部令第</w:t>
      </w:r>
      <w:r>
        <w:rPr>
          <w:rFonts w:hint="default" w:ascii="仿宋_GB2312" w:eastAsia="仿宋_GB2312"/>
          <w:sz w:val="32"/>
          <w:szCs w:val="32"/>
          <w:lang w:val="en"/>
        </w:rPr>
        <w:t>100</w:t>
      </w:r>
      <w:r>
        <w:rPr>
          <w:rFonts w:hint="eastAsia" w:ascii="仿宋_GB2312" w:eastAsia="仿宋_GB2312"/>
          <w:sz w:val="32"/>
          <w:szCs w:val="32"/>
        </w:rPr>
        <w:t>号）和《行政事业单位国有资产报告制度》等有关规定，现对本地区、本部门资产占有</w:t>
      </w:r>
      <w:r>
        <w:rPr>
          <w:rFonts w:ascii="仿宋_GB2312" w:eastAsia="仿宋_GB2312"/>
          <w:sz w:val="32"/>
          <w:szCs w:val="32"/>
        </w:rPr>
        <w:t>、</w:t>
      </w:r>
      <w:r>
        <w:rPr>
          <w:rFonts w:hint="eastAsia" w:ascii="仿宋_GB2312" w:eastAsia="仿宋_GB2312"/>
          <w:sz w:val="32"/>
          <w:szCs w:val="32"/>
        </w:rPr>
        <w:t>使用、变动以及管理情况等进行分析报告如下：</w:t>
      </w:r>
    </w:p>
    <w:p>
      <w:pPr>
        <w:pStyle w:val="12"/>
        <w:numPr>
          <w:ilvl w:val="0"/>
          <w:numId w:val="2"/>
        </w:numPr>
        <w:spacing w:line="360" w:lineRule="auto"/>
        <w:ind w:firstLineChars="0"/>
        <w:rPr>
          <w:rFonts w:ascii="黑体" w:hAnsi="仿宋" w:eastAsia="黑体"/>
          <w:color w:val="000000"/>
          <w:sz w:val="32"/>
          <w:szCs w:val="32"/>
        </w:rPr>
      </w:pPr>
      <w:r>
        <w:rPr>
          <w:rFonts w:hint="eastAsia" w:ascii="黑体" w:hAnsi="仿宋" w:eastAsia="黑体"/>
          <w:color w:val="000000"/>
          <w:sz w:val="32"/>
          <w:szCs w:val="32"/>
        </w:rPr>
        <w:t>地区/部门的基本情况</w:t>
      </w:r>
    </w:p>
    <w:p>
      <w:pPr>
        <w:widowControl/>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分析本地区、本部门所属行政事业单位机构数、编制人数、实有人数等，主管部门还应写明部门主要职责。</w:t>
      </w:r>
      <w:r>
        <w:rPr>
          <w:rFonts w:hint="eastAsia" w:ascii="仿宋_GB2312" w:eastAsia="仿宋_GB2312"/>
          <w:sz w:val="32"/>
          <w:szCs w:val="32"/>
        </w:rPr>
        <w:t>是否</w:t>
      </w:r>
      <w:r>
        <w:rPr>
          <w:rFonts w:ascii="仿宋_GB2312" w:eastAsia="仿宋_GB2312"/>
          <w:sz w:val="32"/>
          <w:szCs w:val="32"/>
        </w:rPr>
        <w:t>涉及机构改革</w:t>
      </w:r>
      <w:r>
        <w:rPr>
          <w:rFonts w:hint="eastAsia" w:ascii="仿宋_GB2312" w:eastAsia="仿宋_GB2312"/>
          <w:sz w:val="32"/>
          <w:szCs w:val="32"/>
        </w:rPr>
        <w:t>，</w:t>
      </w:r>
      <w:r>
        <w:rPr>
          <w:rFonts w:ascii="仿宋_GB2312" w:eastAsia="仿宋_GB2312"/>
          <w:sz w:val="32"/>
          <w:szCs w:val="32"/>
        </w:rPr>
        <w:t>说明改革进展情况</w:t>
      </w:r>
      <w:r>
        <w:rPr>
          <w:rFonts w:hint="eastAsia" w:ascii="仿宋_GB2312" w:eastAsia="仿宋_GB2312"/>
          <w:sz w:val="32"/>
          <w:szCs w:val="32"/>
        </w:rPr>
        <w:t>，以及涉及</w:t>
      </w:r>
      <w:r>
        <w:rPr>
          <w:rFonts w:ascii="仿宋_GB2312" w:eastAsia="仿宋_GB2312"/>
          <w:sz w:val="32"/>
          <w:szCs w:val="32"/>
        </w:rPr>
        <w:t>资产</w:t>
      </w:r>
      <w:r>
        <w:rPr>
          <w:rFonts w:hint="eastAsia" w:ascii="仿宋_GB2312" w:eastAsia="仿宋_GB2312"/>
          <w:sz w:val="32"/>
          <w:szCs w:val="32"/>
        </w:rPr>
        <w:t>划转</w:t>
      </w:r>
      <w:r>
        <w:rPr>
          <w:rFonts w:ascii="仿宋_GB2312" w:eastAsia="仿宋_GB2312"/>
          <w:sz w:val="32"/>
          <w:szCs w:val="32"/>
        </w:rPr>
        <w:t>情况。</w:t>
      </w:r>
    </w:p>
    <w:p>
      <w:pPr>
        <w:pStyle w:val="12"/>
        <w:numPr>
          <w:ilvl w:val="0"/>
          <w:numId w:val="2"/>
        </w:numPr>
        <w:spacing w:line="360" w:lineRule="auto"/>
        <w:ind w:firstLineChars="0"/>
        <w:rPr>
          <w:rFonts w:ascii="黑体" w:eastAsia="黑体"/>
          <w:sz w:val="32"/>
          <w:szCs w:val="32"/>
        </w:rPr>
      </w:pPr>
      <w:r>
        <w:rPr>
          <w:rFonts w:hint="eastAsia" w:ascii="黑体" w:hAnsi="仿宋" w:eastAsia="黑体"/>
          <w:color w:val="000000"/>
          <w:sz w:val="32"/>
          <w:szCs w:val="32"/>
        </w:rPr>
        <w:t>资产情况分析</w:t>
      </w:r>
    </w:p>
    <w:p>
      <w:pPr>
        <w:spacing w:line="360" w:lineRule="auto"/>
        <w:ind w:firstLine="636" w:firstLineChars="198"/>
        <w:rPr>
          <w:rFonts w:ascii="仿宋_GB2312" w:eastAsia="仿宋_GB2312"/>
          <w:sz w:val="32"/>
          <w:szCs w:val="32"/>
          <w:highlight w:val="yellow"/>
        </w:rPr>
      </w:pPr>
      <w:r>
        <w:rPr>
          <w:rFonts w:hint="eastAsia" w:ascii="楷体_GB2312" w:hAnsi="楷体" w:eastAsia="楷体_GB2312"/>
          <w:b/>
          <w:sz w:val="32"/>
          <w:szCs w:val="32"/>
        </w:rPr>
        <w:t>（一）资产的总体情况分析。</w:t>
      </w:r>
      <w:r>
        <w:rPr>
          <w:rFonts w:hint="eastAsia" w:ascii="仿宋_GB2312" w:eastAsia="仿宋_GB2312"/>
          <w:sz w:val="32"/>
          <w:szCs w:val="32"/>
        </w:rPr>
        <w:t>主要包括本地区、本部门资产总量、分布、构成、变动等情况，同时可结合预算收支、债务、历年情况等对资产分布、构成、变动的原因做出分析。其中</w:t>
      </w:r>
      <w:r>
        <w:rPr>
          <w:rFonts w:ascii="仿宋_GB2312" w:eastAsia="仿宋_GB2312"/>
          <w:sz w:val="32"/>
          <w:szCs w:val="32"/>
        </w:rPr>
        <w:t>，构成情况应包含流动资产、</w:t>
      </w:r>
      <w:r>
        <w:rPr>
          <w:rFonts w:hint="eastAsia" w:ascii="仿宋_GB2312" w:eastAsia="仿宋_GB2312"/>
          <w:sz w:val="32"/>
          <w:szCs w:val="32"/>
        </w:rPr>
        <w:t>无形资产</w:t>
      </w:r>
      <w:r>
        <w:rPr>
          <w:rFonts w:ascii="仿宋_GB2312" w:eastAsia="仿宋_GB2312"/>
          <w:sz w:val="32"/>
          <w:szCs w:val="32"/>
        </w:rPr>
        <w:t>、固定资产</w:t>
      </w:r>
      <w:r>
        <w:rPr>
          <w:rFonts w:hint="eastAsia" w:ascii="仿宋_GB2312" w:eastAsia="仿宋_GB2312"/>
          <w:sz w:val="32"/>
          <w:szCs w:val="32"/>
        </w:rPr>
        <w:t>、在建工程、公共基础设施、政府储备物资、文物文化资产、保障性住房等</w:t>
      </w:r>
      <w:r>
        <w:rPr>
          <w:rFonts w:ascii="仿宋_GB2312" w:eastAsia="仿宋_GB2312"/>
          <w:sz w:val="32"/>
          <w:szCs w:val="32"/>
        </w:rPr>
        <w:t>占</w:t>
      </w:r>
      <w:r>
        <w:rPr>
          <w:rFonts w:hint="eastAsia" w:ascii="仿宋_GB2312" w:eastAsia="仿宋_GB2312"/>
          <w:sz w:val="32"/>
          <w:szCs w:val="32"/>
        </w:rPr>
        <w:t>资产总额比例</w:t>
      </w:r>
      <w:r>
        <w:rPr>
          <w:rFonts w:ascii="仿宋_GB2312" w:eastAsia="仿宋_GB2312"/>
          <w:sz w:val="32"/>
          <w:szCs w:val="32"/>
        </w:rPr>
        <w:t>情况</w:t>
      </w:r>
      <w:r>
        <w:rPr>
          <w:rFonts w:hint="eastAsia" w:ascii="仿宋_GB2312" w:eastAsia="仿宋_GB2312"/>
          <w:sz w:val="32"/>
          <w:szCs w:val="32"/>
        </w:rPr>
        <w:t>，</w:t>
      </w:r>
      <w:r>
        <w:rPr>
          <w:rFonts w:ascii="仿宋_GB2312" w:eastAsia="仿宋_GB2312"/>
          <w:sz w:val="32"/>
          <w:szCs w:val="32"/>
        </w:rPr>
        <w:t>固定资产占比</w:t>
      </w:r>
      <w:r>
        <w:rPr>
          <w:rFonts w:hint="eastAsia" w:ascii="仿宋_GB2312" w:eastAsia="仿宋_GB2312"/>
          <w:sz w:val="32"/>
          <w:szCs w:val="32"/>
        </w:rPr>
        <w:t>中应包含</w:t>
      </w:r>
      <w:r>
        <w:rPr>
          <w:rFonts w:ascii="仿宋_GB2312" w:eastAsia="仿宋_GB2312"/>
          <w:sz w:val="32"/>
          <w:szCs w:val="32"/>
        </w:rPr>
        <w:t>房屋、</w:t>
      </w:r>
      <w:r>
        <w:rPr>
          <w:rFonts w:hint="eastAsia" w:ascii="仿宋_GB2312" w:eastAsia="仿宋_GB2312"/>
          <w:sz w:val="32"/>
          <w:szCs w:val="32"/>
        </w:rPr>
        <w:t>车辆、50万元</w:t>
      </w:r>
      <w:r>
        <w:rPr>
          <w:rFonts w:ascii="仿宋_GB2312" w:eastAsia="仿宋_GB2312"/>
          <w:sz w:val="32"/>
          <w:szCs w:val="32"/>
        </w:rPr>
        <w:t>以上通用</w:t>
      </w:r>
      <w:r>
        <w:rPr>
          <w:rFonts w:hint="eastAsia" w:ascii="仿宋_GB2312" w:eastAsia="仿宋_GB2312"/>
          <w:sz w:val="32"/>
          <w:szCs w:val="32"/>
        </w:rPr>
        <w:t>设备</w:t>
      </w:r>
      <w:r>
        <w:rPr>
          <w:rFonts w:ascii="仿宋_GB2312" w:eastAsia="仿宋_GB2312"/>
          <w:sz w:val="32"/>
          <w:szCs w:val="32"/>
        </w:rPr>
        <w:t>、</w:t>
      </w:r>
      <w:r>
        <w:rPr>
          <w:rFonts w:hint="eastAsia" w:ascii="仿宋_GB2312" w:eastAsia="仿宋_GB2312"/>
          <w:sz w:val="32"/>
          <w:szCs w:val="32"/>
        </w:rPr>
        <w:t>100万元</w:t>
      </w:r>
      <w:r>
        <w:rPr>
          <w:rFonts w:ascii="仿宋_GB2312" w:eastAsia="仿宋_GB2312"/>
          <w:sz w:val="32"/>
          <w:szCs w:val="32"/>
        </w:rPr>
        <w:t>以上专用设备</w:t>
      </w:r>
      <w:r>
        <w:rPr>
          <w:rFonts w:hint="eastAsia" w:ascii="仿宋_GB2312" w:eastAsia="仿宋_GB2312"/>
          <w:sz w:val="32"/>
          <w:szCs w:val="32"/>
        </w:rPr>
        <w:t>占固定资产</w:t>
      </w:r>
      <w:r>
        <w:rPr>
          <w:rFonts w:ascii="仿宋_GB2312" w:eastAsia="仿宋_GB2312"/>
          <w:sz w:val="32"/>
          <w:szCs w:val="32"/>
        </w:rPr>
        <w:t>总额</w:t>
      </w:r>
      <w:r>
        <w:rPr>
          <w:rFonts w:hint="eastAsia" w:ascii="仿宋_GB2312" w:eastAsia="仿宋_GB2312"/>
          <w:sz w:val="32"/>
          <w:szCs w:val="32"/>
        </w:rPr>
        <w:t>比例</w:t>
      </w:r>
      <w:r>
        <w:rPr>
          <w:rFonts w:ascii="仿宋_GB2312" w:eastAsia="仿宋_GB2312"/>
          <w:sz w:val="32"/>
          <w:szCs w:val="32"/>
        </w:rPr>
        <w:t>等</w:t>
      </w:r>
      <w:r>
        <w:rPr>
          <w:rFonts w:hint="eastAsia" w:ascii="仿宋_GB2312" w:eastAsia="仿宋_GB2312"/>
          <w:sz w:val="32"/>
          <w:szCs w:val="32"/>
        </w:rPr>
        <w:t>主要</w:t>
      </w:r>
      <w:r>
        <w:rPr>
          <w:rFonts w:ascii="仿宋_GB2312" w:eastAsia="仿宋_GB2312"/>
          <w:sz w:val="32"/>
          <w:szCs w:val="32"/>
        </w:rPr>
        <w:t>指标分析</w:t>
      </w:r>
      <w:r>
        <w:rPr>
          <w:rFonts w:hint="eastAsia" w:ascii="仿宋_GB2312" w:eastAsia="仿宋_GB2312"/>
          <w:sz w:val="32"/>
          <w:szCs w:val="32"/>
        </w:rPr>
        <w:t>（可用饼图、柱图、折线图和表格）。资产变动情况应包含总资产增长率、流动资产增长率、固定资产增长率、无形资产增长率、公共基础设施增长率、政府储备物资增长率、文物文化资产增长率、保障性住房增长率等。财政部门应对本地区</w:t>
      </w:r>
      <w:r>
        <w:rPr>
          <w:rFonts w:hint="eastAsia" w:ascii="仿宋_GB2312" w:hAnsi="楷体" w:eastAsia="仿宋_GB2312"/>
          <w:kern w:val="0"/>
          <w:sz w:val="32"/>
          <w:szCs w:val="32"/>
        </w:rPr>
        <w:t>教育、卫生、文化、交通、科技等</w:t>
      </w:r>
      <w:r>
        <w:rPr>
          <w:rFonts w:hint="eastAsia" w:ascii="仿宋_GB2312" w:eastAsia="仿宋_GB2312"/>
          <w:sz w:val="32"/>
          <w:szCs w:val="32"/>
        </w:rPr>
        <w:t>重点行业进行分析。</w:t>
      </w:r>
    </w:p>
    <w:p>
      <w:pPr>
        <w:spacing w:line="360" w:lineRule="auto"/>
        <w:ind w:firstLine="475" w:firstLineChars="148"/>
        <w:rPr>
          <w:rFonts w:ascii="仿宋_GB2312" w:eastAsia="仿宋_GB2312"/>
          <w:sz w:val="32"/>
          <w:szCs w:val="32"/>
        </w:rPr>
      </w:pPr>
      <w:r>
        <w:rPr>
          <w:rFonts w:hint="eastAsia" w:ascii="楷体_GB2312" w:hAnsi="楷体" w:eastAsia="楷体_GB2312"/>
          <w:b/>
          <w:sz w:val="32"/>
          <w:szCs w:val="32"/>
        </w:rPr>
        <w:t>（二）资产配置、使用、处置、收益情况分析。</w:t>
      </w:r>
      <w:r>
        <w:rPr>
          <w:rFonts w:hint="eastAsia" w:ascii="仿宋_GB2312" w:eastAsia="仿宋_GB2312"/>
          <w:sz w:val="32"/>
          <w:szCs w:val="32"/>
        </w:rPr>
        <w:t>分析本地区、本部门资产整体配置、使用、处置、收益情况，特别是与部门、单位履行职能和促进行政管理、事业发展相关的重点资产的配置、使用、处置、收益等情况。其中，资产配置情况应包含本期配置固定资产、无形资产和在建工程情况；资产使用情况应包含本期新增出租出借资产及对外投资情况；资产收益情况应包含利用国有资产对外投资、出租出借或处置国有资产取得的收益情况。特别是土地、房屋、车辆、大型仪器设备、在建工程等重点资产的配置、使用、处置、收益情况（可用饼图、柱图、折线图和表格）。</w:t>
      </w:r>
    </w:p>
    <w:p>
      <w:pPr>
        <w:tabs>
          <w:tab w:val="left" w:pos="8595"/>
        </w:tabs>
        <w:ind w:firstLine="642" w:firstLineChars="200"/>
        <w:rPr>
          <w:rFonts w:ascii="楷体_GB2312" w:hAnsi="楷体" w:eastAsia="仿宋_GB2312"/>
          <w:b/>
          <w:kern w:val="0"/>
          <w:sz w:val="32"/>
          <w:szCs w:val="32"/>
        </w:rPr>
      </w:pPr>
      <w:r>
        <w:rPr>
          <w:rFonts w:hint="eastAsia" w:ascii="楷体_GB2312" w:hAnsi="楷体" w:eastAsia="楷体_GB2312"/>
          <w:b/>
          <w:kern w:val="0"/>
          <w:sz w:val="32"/>
          <w:szCs w:val="32"/>
        </w:rPr>
        <w:t>（三）资产总体绩效情况。</w:t>
      </w:r>
      <w:r>
        <w:rPr>
          <w:rFonts w:hint="eastAsia" w:ascii="仿宋_GB2312" w:eastAsia="仿宋_GB2312"/>
          <w:sz w:val="32"/>
          <w:szCs w:val="32"/>
        </w:rPr>
        <w:t>分析本地区、本部门资产整体配置效率和使用效益、资产存量盘活和共享共用情况、资产保值增值情况等。其中，资产配置效率应包含人均占有办公室使用面积、人均占有通用设备数量等主要指标分析；资产使用效益应包含资产闲置率、出租出借收益率、对外投资收益率等主要指标分析。公共基础设施、政府储备物资、文物文化资产、保障性住房应包含资产入账转化率、增长率、运营效率等主要指标分析。</w:t>
      </w:r>
    </w:p>
    <w:p>
      <w:pPr>
        <w:ind w:firstLine="720" w:firstLineChars="225"/>
        <w:rPr>
          <w:rFonts w:ascii="黑体" w:hAnsi="黑体" w:eastAsia="黑体"/>
          <w:sz w:val="32"/>
          <w:szCs w:val="32"/>
        </w:rPr>
      </w:pPr>
      <w:r>
        <w:rPr>
          <w:rFonts w:hint="eastAsia" w:ascii="黑体" w:hAnsi="黑体" w:eastAsia="黑体"/>
          <w:sz w:val="32"/>
          <w:szCs w:val="32"/>
        </w:rPr>
        <w:t>三、资产管理工作情况及成效</w:t>
      </w:r>
    </w:p>
    <w:p>
      <w:pPr>
        <w:pStyle w:val="17"/>
        <w:ind w:left="159" w:leftChars="76" w:firstLine="640"/>
        <w:rPr>
          <w:rFonts w:hint="eastAsia" w:ascii="仿宋_GB2312" w:eastAsia="仿宋_GB2312"/>
          <w:sz w:val="32"/>
          <w:szCs w:val="32"/>
          <w:lang w:eastAsia="zh-CN"/>
        </w:rPr>
      </w:pPr>
      <w:r>
        <w:rPr>
          <w:rFonts w:hint="eastAsia" w:ascii="仿宋_GB2312" w:hAnsi="楷体" w:eastAsia="仿宋_GB2312"/>
          <w:kern w:val="0"/>
          <w:sz w:val="32"/>
          <w:szCs w:val="32"/>
        </w:rPr>
        <w:t>（一）认真总结本部门、本地区行政事业性国有资产管理在制度制定、基础管理、配置使用和处置全流程管理以及信息化建设等方面的情况，重点反映在提高资产运行绩效、加强调剂共享情况、强化固定资产管理等方面的举措。</w:t>
      </w:r>
      <w:r>
        <w:rPr>
          <w:rFonts w:hint="eastAsia" w:ascii="仿宋_GB2312" w:eastAsia="仿宋_GB2312"/>
          <w:sz w:val="32"/>
          <w:szCs w:val="32"/>
        </w:rPr>
        <w:t>财政部门应对本地区</w:t>
      </w:r>
      <w:r>
        <w:rPr>
          <w:rFonts w:hint="eastAsia" w:ascii="仿宋_GB2312" w:eastAsia="仿宋_GB2312"/>
          <w:sz w:val="32"/>
          <w:szCs w:val="32"/>
          <w:lang w:eastAsia="zh-CN"/>
        </w:rPr>
        <w:t>资产管理信息系统建设情况和融入预算一体化系统的工作进行总结。</w:t>
      </w:r>
    </w:p>
    <w:p>
      <w:pPr>
        <w:pStyle w:val="17"/>
        <w:ind w:left="159" w:leftChars="76" w:firstLine="640"/>
        <w:rPr>
          <w:rFonts w:ascii="仿宋_GB2312" w:hAnsi="华文仿宋" w:eastAsia="仿宋_GB2312" w:cs="华文仿宋"/>
          <w:kern w:val="0"/>
          <w:sz w:val="32"/>
          <w:szCs w:val="32"/>
        </w:rPr>
      </w:pPr>
      <w:r>
        <w:rPr>
          <w:rFonts w:hint="eastAsia" w:ascii="仿宋_GB2312" w:hAnsi="楷体" w:eastAsia="仿宋_GB2312"/>
          <w:kern w:val="0"/>
          <w:sz w:val="32"/>
          <w:szCs w:val="32"/>
        </w:rPr>
        <w:t>（二）全面反映本部门、本地区行政事业性国有资产管理在贯彻落实党中央、国务院决策部署，保障单位正常运转</w:t>
      </w:r>
      <w:r>
        <w:rPr>
          <w:rFonts w:hint="eastAsia" w:ascii="仿宋_GB2312" w:hAnsi="华文仿宋" w:eastAsia="仿宋_GB2312" w:cs="华文仿宋"/>
          <w:kern w:val="0"/>
          <w:sz w:val="32"/>
          <w:szCs w:val="32"/>
        </w:rPr>
        <w:t>，</w:t>
      </w:r>
      <w:r>
        <w:rPr>
          <w:rFonts w:hint="eastAsia" w:ascii="仿宋_GB2312" w:hAnsi="楷体" w:eastAsia="仿宋_GB2312"/>
          <w:kern w:val="0"/>
          <w:sz w:val="32"/>
          <w:szCs w:val="32"/>
        </w:rPr>
        <w:t>提供社会</w:t>
      </w:r>
      <w:r>
        <w:rPr>
          <w:rFonts w:hint="eastAsia" w:ascii="仿宋_GB2312" w:hAnsi="华文仿宋" w:eastAsia="仿宋_GB2312" w:cs="华文仿宋"/>
          <w:kern w:val="0"/>
          <w:sz w:val="32"/>
          <w:szCs w:val="32"/>
        </w:rPr>
        <w:t>公共服务以及</w:t>
      </w:r>
      <w:r>
        <w:rPr>
          <w:rFonts w:hint="eastAsia" w:ascii="仿宋_GB2312" w:hAnsi="楷体" w:eastAsia="仿宋_GB2312"/>
          <w:kern w:val="0"/>
          <w:sz w:val="32"/>
          <w:szCs w:val="32"/>
        </w:rPr>
        <w:t>推进行政事业单位各项改革</w:t>
      </w:r>
      <w:r>
        <w:rPr>
          <w:rFonts w:hint="eastAsia" w:ascii="仿宋_GB2312" w:hAnsi="华文仿宋" w:eastAsia="仿宋_GB2312" w:cs="华文仿宋"/>
          <w:kern w:val="0"/>
          <w:sz w:val="32"/>
          <w:szCs w:val="32"/>
        </w:rPr>
        <w:t>等方面所发挥的</w:t>
      </w:r>
      <w:r>
        <w:rPr>
          <w:rFonts w:hint="eastAsia" w:ascii="仿宋_GB2312" w:hAnsi="楷体" w:eastAsia="仿宋_GB2312"/>
          <w:kern w:val="0"/>
          <w:sz w:val="32"/>
          <w:szCs w:val="32"/>
        </w:rPr>
        <w:t>积极</w:t>
      </w:r>
      <w:r>
        <w:rPr>
          <w:rFonts w:hint="eastAsia" w:ascii="仿宋_GB2312" w:hAnsi="华文仿宋" w:eastAsia="仿宋_GB2312" w:cs="华文仿宋"/>
          <w:kern w:val="0"/>
          <w:sz w:val="32"/>
          <w:szCs w:val="32"/>
        </w:rPr>
        <w:t>作用。重点反映</w:t>
      </w:r>
      <w:r>
        <w:rPr>
          <w:rFonts w:hint="eastAsia" w:ascii="仿宋_GB2312" w:hAnsi="楷体" w:eastAsia="仿宋_GB2312"/>
          <w:kern w:val="0"/>
          <w:sz w:val="32"/>
          <w:szCs w:val="32"/>
        </w:rPr>
        <w:t>教育、卫生、文化、科技等行业</w:t>
      </w:r>
      <w:r>
        <w:rPr>
          <w:rFonts w:hint="eastAsia" w:ascii="仿宋_GB2312" w:hAnsi="华文仿宋" w:eastAsia="仿宋_GB2312" w:cs="华文仿宋"/>
          <w:kern w:val="0"/>
          <w:sz w:val="32"/>
          <w:szCs w:val="32"/>
        </w:rPr>
        <w:t>资产在抗击新冠肺炎疫情、促进公共服务均等化、助力脱贫攻坚</w:t>
      </w:r>
      <w:r>
        <w:rPr>
          <w:rFonts w:hint="eastAsia" w:ascii="仿宋_GB2312" w:hAnsi="华文仿宋" w:eastAsia="仿宋_GB2312" w:cs="华文仿宋"/>
          <w:kern w:val="0"/>
          <w:sz w:val="32"/>
          <w:szCs w:val="32"/>
          <w:lang w:eastAsia="zh-CN"/>
        </w:rPr>
        <w:t>、提升创新能力</w:t>
      </w:r>
      <w:r>
        <w:rPr>
          <w:rFonts w:hint="eastAsia" w:ascii="仿宋_GB2312" w:hAnsi="华文仿宋" w:eastAsia="仿宋_GB2312" w:cs="华文仿宋"/>
          <w:kern w:val="0"/>
          <w:sz w:val="32"/>
          <w:szCs w:val="32"/>
        </w:rPr>
        <w:t>等工作中发挥的作用。</w:t>
      </w:r>
    </w:p>
    <w:p>
      <w:pPr>
        <w:pStyle w:val="17"/>
        <w:ind w:left="159" w:leftChars="76" w:firstLine="640"/>
        <w:rPr>
          <w:rFonts w:ascii="仿宋_GB2312" w:hAnsi="楷体" w:eastAsia="仿宋_GB2312"/>
          <w:kern w:val="0"/>
          <w:sz w:val="32"/>
          <w:szCs w:val="32"/>
        </w:rPr>
      </w:pPr>
      <w:r>
        <w:rPr>
          <w:rFonts w:hint="eastAsia" w:ascii="仿宋_GB2312" w:hAnsi="华文仿宋" w:eastAsia="仿宋_GB2312" w:cs="华文仿宋"/>
          <w:kern w:val="0"/>
          <w:sz w:val="32"/>
          <w:szCs w:val="32"/>
        </w:rPr>
        <w:t>（三）全面总结</w:t>
      </w:r>
      <w:r>
        <w:rPr>
          <w:rFonts w:hint="eastAsia" w:ascii="仿宋_GB2312" w:hAnsi="楷体" w:eastAsia="仿宋_GB2312"/>
          <w:kern w:val="0"/>
          <w:sz w:val="32"/>
          <w:szCs w:val="32"/>
        </w:rPr>
        <w:t>本部门、本地区公共基础设施等行政事业性国有资产管理情况以及截至2020年12月31日的所办企业管理情况。</w:t>
      </w:r>
    </w:p>
    <w:p>
      <w:pPr>
        <w:pStyle w:val="17"/>
        <w:ind w:left="159" w:leftChars="76" w:firstLine="640"/>
        <w:rPr>
          <w:rFonts w:ascii="仿宋_GB2312" w:hAnsi="华文仿宋" w:eastAsia="仿宋_GB2312" w:cs="华文仿宋"/>
          <w:kern w:val="0"/>
          <w:sz w:val="32"/>
          <w:szCs w:val="32"/>
        </w:rPr>
      </w:pPr>
      <w:r>
        <w:rPr>
          <w:rFonts w:hint="eastAsia" w:ascii="仿宋_GB2312" w:eastAsia="仿宋_GB2312"/>
          <w:sz w:val="32"/>
          <w:szCs w:val="32"/>
        </w:rPr>
        <w:t>（四）梳理</w:t>
      </w:r>
      <w:r>
        <w:rPr>
          <w:rFonts w:hint="eastAsia" w:ascii="仿宋_GB2312" w:hAnsi="华文仿宋" w:eastAsia="仿宋_GB2312" w:cs="华文仿宋"/>
          <w:bCs/>
          <w:kern w:val="0"/>
          <w:sz w:val="32"/>
          <w:szCs w:val="32"/>
        </w:rPr>
        <w:t>人大、审计、巡视等提出的资产管理问题及建议，总结整改措施和整改进展情况。</w:t>
      </w:r>
    </w:p>
    <w:p>
      <w:pPr>
        <w:spacing w:line="360" w:lineRule="auto"/>
        <w:ind w:firstLine="640" w:firstLineChars="200"/>
        <w:rPr>
          <w:rFonts w:ascii="黑体" w:hAnsi="黑体" w:eastAsia="黑体"/>
          <w:sz w:val="32"/>
          <w:szCs w:val="32"/>
        </w:rPr>
      </w:pPr>
      <w:r>
        <w:rPr>
          <w:rFonts w:hint="eastAsia" w:ascii="黑体" w:hAnsi="仿宋" w:eastAsia="黑体"/>
          <w:color w:val="000000"/>
          <w:sz w:val="32"/>
          <w:szCs w:val="32"/>
        </w:rPr>
        <w:t>四、</w:t>
      </w:r>
      <w:r>
        <w:rPr>
          <w:rFonts w:hint="eastAsia" w:ascii="黑体" w:hAnsi="黑体" w:eastAsia="黑体"/>
          <w:sz w:val="32"/>
          <w:szCs w:val="32"/>
        </w:rPr>
        <w:t>资产管理工作存在的问题及整改措施</w:t>
      </w:r>
    </w:p>
    <w:p>
      <w:pPr>
        <w:ind w:firstLine="640" w:firstLineChars="200"/>
        <w:rPr>
          <w:rFonts w:ascii="黑体" w:hAnsi="黑体" w:eastAsia="黑体"/>
          <w:sz w:val="32"/>
          <w:szCs w:val="32"/>
        </w:rPr>
      </w:pPr>
      <w:r>
        <w:rPr>
          <w:rFonts w:hint="eastAsia" w:ascii="仿宋_GB2312" w:eastAsia="仿宋_GB2312"/>
          <w:sz w:val="32"/>
          <w:szCs w:val="32"/>
        </w:rPr>
        <w:t>对照现有制度，结合《财政部关于加强行政事业单位固定资产管理的通知》等</w:t>
      </w:r>
      <w:r>
        <w:rPr>
          <w:rFonts w:ascii="仿宋_GB2312" w:eastAsia="仿宋_GB2312"/>
          <w:sz w:val="32"/>
          <w:szCs w:val="32"/>
        </w:rPr>
        <w:t>文件要求，</w:t>
      </w:r>
      <w:r>
        <w:rPr>
          <w:rFonts w:hint="eastAsia" w:ascii="仿宋_GB2312" w:eastAsia="仿宋_GB2312"/>
          <w:sz w:val="32"/>
          <w:szCs w:val="32"/>
        </w:rPr>
        <w:t>对资产管理各方面存在的问题进行梳理和自查，提出下一步推进资产管理的工作思路。重点就加强货币资金管理、规范公共基础设施类资产会计核算、推进在建工程转固等方面提出工作措施。</w:t>
      </w:r>
    </w:p>
    <w:p>
      <w:pPr>
        <w:ind w:firstLine="720" w:firstLineChars="225"/>
        <w:rPr>
          <w:rFonts w:ascii="黑体" w:eastAsia="黑体"/>
          <w:sz w:val="32"/>
          <w:szCs w:val="32"/>
        </w:rPr>
      </w:pPr>
      <w:r>
        <w:rPr>
          <w:rFonts w:hint="eastAsia" w:ascii="黑体" w:hAnsi="仿宋" w:eastAsia="黑体"/>
          <w:color w:val="000000"/>
          <w:sz w:val="32"/>
          <w:szCs w:val="32"/>
        </w:rPr>
        <w:t>五、其他需要报告的重要事项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1.对本地区、本部门财产损失、权属</w:t>
      </w:r>
      <w:r>
        <w:rPr>
          <w:rFonts w:ascii="仿宋_GB2312" w:eastAsia="仿宋_GB2312"/>
          <w:sz w:val="32"/>
          <w:szCs w:val="32"/>
        </w:rPr>
        <w:t>不清晰的</w:t>
      </w:r>
      <w:r>
        <w:rPr>
          <w:rFonts w:hint="eastAsia" w:ascii="仿宋_GB2312" w:eastAsia="仿宋_GB2312"/>
          <w:sz w:val="32"/>
          <w:szCs w:val="32"/>
        </w:rPr>
        <w:t>重要</w:t>
      </w:r>
      <w:r>
        <w:rPr>
          <w:rFonts w:ascii="仿宋_GB2312" w:eastAsia="仿宋_GB2312"/>
          <w:sz w:val="32"/>
          <w:szCs w:val="32"/>
        </w:rPr>
        <w:t>资产情况</w:t>
      </w:r>
      <w:r>
        <w:rPr>
          <w:rFonts w:hint="eastAsia" w:ascii="仿宋_GB2312" w:eastAsia="仿宋_GB2312"/>
          <w:sz w:val="32"/>
          <w:szCs w:val="32"/>
        </w:rPr>
        <w:t>以及其他重要事项进行详细分析说明。</w:t>
      </w:r>
    </w:p>
    <w:p>
      <w:pPr>
        <w:pStyle w:val="3"/>
        <w:ind w:firstLine="640"/>
        <w:rPr>
          <w:rFonts w:hAnsi="Calibri"/>
          <w:kern w:val="2"/>
          <w:sz w:val="32"/>
          <w:szCs w:val="32"/>
        </w:rPr>
      </w:pPr>
      <w:r>
        <w:rPr>
          <w:rFonts w:hAnsi="Calibri"/>
          <w:kern w:val="2"/>
          <w:sz w:val="32"/>
          <w:szCs w:val="32"/>
        </w:rPr>
        <w:t xml:space="preserve">2. </w:t>
      </w:r>
      <w:r>
        <w:rPr>
          <w:rFonts w:hint="eastAsia" w:hAnsi="Calibri"/>
          <w:kern w:val="2"/>
          <w:sz w:val="32"/>
          <w:szCs w:val="32"/>
        </w:rPr>
        <w:t>本地区、本部门应将政府储备物资、公共基础设施、文物文化资产、保障性住房数据分别与行业统计数据进行对比，如不一致应说明差异原因。</w:t>
      </w:r>
    </w:p>
    <w:p>
      <w:pPr>
        <w:ind w:firstLine="640" w:firstLineChars="200"/>
        <w:rPr>
          <w:rFonts w:ascii="仿宋_GB2312" w:eastAsia="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40F36"/>
    <w:multiLevelType w:val="multilevel"/>
    <w:tmpl w:val="26540F36"/>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0E91A7C"/>
    <w:multiLevelType w:val="multilevel"/>
    <w:tmpl w:val="30E91A7C"/>
    <w:lvl w:ilvl="0" w:tentative="0">
      <w:start w:val="1"/>
      <w:numFmt w:val="japaneseCounting"/>
      <w:lvlText w:val="%1、"/>
      <w:lvlJc w:val="left"/>
      <w:pPr>
        <w:ind w:left="1288" w:hanging="720"/>
      </w:pPr>
      <w:rPr>
        <w:rFonts w:hint="eastAsia" w:ascii="黑体" w:hAnsi="Calibri" w:eastAsia="黑体"/>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NotTrackMoves/>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599C"/>
    <w:rsid w:val="00002F5F"/>
    <w:rsid w:val="00010CC2"/>
    <w:rsid w:val="000133B5"/>
    <w:rsid w:val="0001452F"/>
    <w:rsid w:val="00020726"/>
    <w:rsid w:val="000263E6"/>
    <w:rsid w:val="000315FA"/>
    <w:rsid w:val="000475E3"/>
    <w:rsid w:val="00071ECA"/>
    <w:rsid w:val="00081B26"/>
    <w:rsid w:val="00096F37"/>
    <w:rsid w:val="000A2A43"/>
    <w:rsid w:val="000C3825"/>
    <w:rsid w:val="000F294E"/>
    <w:rsid w:val="001116ED"/>
    <w:rsid w:val="00112F28"/>
    <w:rsid w:val="00130E81"/>
    <w:rsid w:val="00134B3E"/>
    <w:rsid w:val="0014437D"/>
    <w:rsid w:val="00144439"/>
    <w:rsid w:val="00144A45"/>
    <w:rsid w:val="00170F85"/>
    <w:rsid w:val="00185DBB"/>
    <w:rsid w:val="001B0B4B"/>
    <w:rsid w:val="001B1313"/>
    <w:rsid w:val="001B7D17"/>
    <w:rsid w:val="001C2856"/>
    <w:rsid w:val="001C5EFB"/>
    <w:rsid w:val="001E00AB"/>
    <w:rsid w:val="001E1624"/>
    <w:rsid w:val="001F54A3"/>
    <w:rsid w:val="001F7B3B"/>
    <w:rsid w:val="00200E75"/>
    <w:rsid w:val="00201F8E"/>
    <w:rsid w:val="00222F75"/>
    <w:rsid w:val="00244F92"/>
    <w:rsid w:val="002620BC"/>
    <w:rsid w:val="00263509"/>
    <w:rsid w:val="0027640E"/>
    <w:rsid w:val="00281DD6"/>
    <w:rsid w:val="002963AD"/>
    <w:rsid w:val="002A206B"/>
    <w:rsid w:val="002B0DCB"/>
    <w:rsid w:val="002E292B"/>
    <w:rsid w:val="002F06BB"/>
    <w:rsid w:val="0030044B"/>
    <w:rsid w:val="003004DC"/>
    <w:rsid w:val="00301967"/>
    <w:rsid w:val="0034210A"/>
    <w:rsid w:val="00364686"/>
    <w:rsid w:val="00377900"/>
    <w:rsid w:val="003857A9"/>
    <w:rsid w:val="00385AFF"/>
    <w:rsid w:val="00386292"/>
    <w:rsid w:val="003A01AE"/>
    <w:rsid w:val="003D677C"/>
    <w:rsid w:val="003F4032"/>
    <w:rsid w:val="003F569D"/>
    <w:rsid w:val="004359F4"/>
    <w:rsid w:val="00460D4E"/>
    <w:rsid w:val="00465733"/>
    <w:rsid w:val="0047294E"/>
    <w:rsid w:val="004751F5"/>
    <w:rsid w:val="00487FB2"/>
    <w:rsid w:val="004937DF"/>
    <w:rsid w:val="004A094D"/>
    <w:rsid w:val="004A24AC"/>
    <w:rsid w:val="004B1C4B"/>
    <w:rsid w:val="004B3B35"/>
    <w:rsid w:val="004B4197"/>
    <w:rsid w:val="004B6BE1"/>
    <w:rsid w:val="004B7347"/>
    <w:rsid w:val="004C529C"/>
    <w:rsid w:val="004C55CA"/>
    <w:rsid w:val="004C672F"/>
    <w:rsid w:val="004D47C6"/>
    <w:rsid w:val="004D6137"/>
    <w:rsid w:val="004D6FD1"/>
    <w:rsid w:val="004D76DC"/>
    <w:rsid w:val="004E0B94"/>
    <w:rsid w:val="004F5D6C"/>
    <w:rsid w:val="00500031"/>
    <w:rsid w:val="00500443"/>
    <w:rsid w:val="00500BDA"/>
    <w:rsid w:val="00502C20"/>
    <w:rsid w:val="00512DD9"/>
    <w:rsid w:val="00513DC4"/>
    <w:rsid w:val="0052477F"/>
    <w:rsid w:val="00542E86"/>
    <w:rsid w:val="00550488"/>
    <w:rsid w:val="00583436"/>
    <w:rsid w:val="005900D2"/>
    <w:rsid w:val="00590D26"/>
    <w:rsid w:val="005A2678"/>
    <w:rsid w:val="005C0646"/>
    <w:rsid w:val="005D1BCA"/>
    <w:rsid w:val="005D4893"/>
    <w:rsid w:val="005D4BA3"/>
    <w:rsid w:val="005F31CB"/>
    <w:rsid w:val="005F757E"/>
    <w:rsid w:val="006131AB"/>
    <w:rsid w:val="0061516F"/>
    <w:rsid w:val="006168C2"/>
    <w:rsid w:val="00622F50"/>
    <w:rsid w:val="00632B94"/>
    <w:rsid w:val="00635A94"/>
    <w:rsid w:val="00635CD2"/>
    <w:rsid w:val="00636F94"/>
    <w:rsid w:val="006506DD"/>
    <w:rsid w:val="00675ACA"/>
    <w:rsid w:val="00691261"/>
    <w:rsid w:val="006942CD"/>
    <w:rsid w:val="00696948"/>
    <w:rsid w:val="006A6FBC"/>
    <w:rsid w:val="006A79E2"/>
    <w:rsid w:val="006B134B"/>
    <w:rsid w:val="006B214A"/>
    <w:rsid w:val="006B77D1"/>
    <w:rsid w:val="006C02D2"/>
    <w:rsid w:val="006C05DE"/>
    <w:rsid w:val="006E3DC9"/>
    <w:rsid w:val="006F4F95"/>
    <w:rsid w:val="00700518"/>
    <w:rsid w:val="00705E76"/>
    <w:rsid w:val="007067D5"/>
    <w:rsid w:val="00745F35"/>
    <w:rsid w:val="00746E5A"/>
    <w:rsid w:val="00756AE5"/>
    <w:rsid w:val="00773668"/>
    <w:rsid w:val="007A2646"/>
    <w:rsid w:val="007F0ACA"/>
    <w:rsid w:val="0081099D"/>
    <w:rsid w:val="00823341"/>
    <w:rsid w:val="00827AF1"/>
    <w:rsid w:val="0084298B"/>
    <w:rsid w:val="00847EB0"/>
    <w:rsid w:val="00852036"/>
    <w:rsid w:val="008546AC"/>
    <w:rsid w:val="00870619"/>
    <w:rsid w:val="00877543"/>
    <w:rsid w:val="0088119B"/>
    <w:rsid w:val="00884236"/>
    <w:rsid w:val="00890275"/>
    <w:rsid w:val="008A1787"/>
    <w:rsid w:val="008A68BA"/>
    <w:rsid w:val="008B0F73"/>
    <w:rsid w:val="008B4F1B"/>
    <w:rsid w:val="008C3BDB"/>
    <w:rsid w:val="008D129A"/>
    <w:rsid w:val="008E0165"/>
    <w:rsid w:val="008E2117"/>
    <w:rsid w:val="008F111A"/>
    <w:rsid w:val="00907EBC"/>
    <w:rsid w:val="009170BE"/>
    <w:rsid w:val="00925324"/>
    <w:rsid w:val="009352B5"/>
    <w:rsid w:val="00936A46"/>
    <w:rsid w:val="00941CCA"/>
    <w:rsid w:val="00942D12"/>
    <w:rsid w:val="009625C7"/>
    <w:rsid w:val="009859EC"/>
    <w:rsid w:val="009912EB"/>
    <w:rsid w:val="009917C2"/>
    <w:rsid w:val="009A1249"/>
    <w:rsid w:val="009C3901"/>
    <w:rsid w:val="009C63E2"/>
    <w:rsid w:val="009D404A"/>
    <w:rsid w:val="009D7888"/>
    <w:rsid w:val="009E659B"/>
    <w:rsid w:val="00A06D92"/>
    <w:rsid w:val="00A15CFF"/>
    <w:rsid w:val="00A169E7"/>
    <w:rsid w:val="00A16A3C"/>
    <w:rsid w:val="00A33549"/>
    <w:rsid w:val="00A52FDF"/>
    <w:rsid w:val="00A644D9"/>
    <w:rsid w:val="00A70CC9"/>
    <w:rsid w:val="00A7588B"/>
    <w:rsid w:val="00A80804"/>
    <w:rsid w:val="00A8440F"/>
    <w:rsid w:val="00A921F6"/>
    <w:rsid w:val="00AA188C"/>
    <w:rsid w:val="00AB3508"/>
    <w:rsid w:val="00AC4566"/>
    <w:rsid w:val="00AC4B40"/>
    <w:rsid w:val="00AE6AB5"/>
    <w:rsid w:val="00AF7E6B"/>
    <w:rsid w:val="00B2583B"/>
    <w:rsid w:val="00B53EB4"/>
    <w:rsid w:val="00B679B2"/>
    <w:rsid w:val="00B71F9F"/>
    <w:rsid w:val="00BA240A"/>
    <w:rsid w:val="00BA48D8"/>
    <w:rsid w:val="00BB3452"/>
    <w:rsid w:val="00BB5C28"/>
    <w:rsid w:val="00BB7EA2"/>
    <w:rsid w:val="00BE7F14"/>
    <w:rsid w:val="00C040F1"/>
    <w:rsid w:val="00C26CDD"/>
    <w:rsid w:val="00C3107B"/>
    <w:rsid w:val="00C45D26"/>
    <w:rsid w:val="00C5171E"/>
    <w:rsid w:val="00C66229"/>
    <w:rsid w:val="00CA0BDF"/>
    <w:rsid w:val="00CA160A"/>
    <w:rsid w:val="00CC03BE"/>
    <w:rsid w:val="00CC56FD"/>
    <w:rsid w:val="00CE4C1C"/>
    <w:rsid w:val="00D04363"/>
    <w:rsid w:val="00D055FC"/>
    <w:rsid w:val="00D05EF1"/>
    <w:rsid w:val="00D10985"/>
    <w:rsid w:val="00D15F77"/>
    <w:rsid w:val="00D32D47"/>
    <w:rsid w:val="00D34FC8"/>
    <w:rsid w:val="00D41DD5"/>
    <w:rsid w:val="00D53C06"/>
    <w:rsid w:val="00D655B5"/>
    <w:rsid w:val="00D7675F"/>
    <w:rsid w:val="00D8066F"/>
    <w:rsid w:val="00D806B5"/>
    <w:rsid w:val="00D82A96"/>
    <w:rsid w:val="00D85530"/>
    <w:rsid w:val="00D85CED"/>
    <w:rsid w:val="00D953B9"/>
    <w:rsid w:val="00DA663B"/>
    <w:rsid w:val="00DB2768"/>
    <w:rsid w:val="00DC440B"/>
    <w:rsid w:val="00DC7DDA"/>
    <w:rsid w:val="00DD3A4D"/>
    <w:rsid w:val="00DE5EC9"/>
    <w:rsid w:val="00DF4953"/>
    <w:rsid w:val="00E434F0"/>
    <w:rsid w:val="00E47166"/>
    <w:rsid w:val="00E53B13"/>
    <w:rsid w:val="00E73CE2"/>
    <w:rsid w:val="00E90F26"/>
    <w:rsid w:val="00EA294F"/>
    <w:rsid w:val="00EA7EAC"/>
    <w:rsid w:val="00EB1170"/>
    <w:rsid w:val="00EB7AEC"/>
    <w:rsid w:val="00EC06EF"/>
    <w:rsid w:val="00EE06FD"/>
    <w:rsid w:val="00EE461F"/>
    <w:rsid w:val="00EF6879"/>
    <w:rsid w:val="00F00089"/>
    <w:rsid w:val="00F0109E"/>
    <w:rsid w:val="00F03D46"/>
    <w:rsid w:val="00F06EBD"/>
    <w:rsid w:val="00F22FBE"/>
    <w:rsid w:val="00F27E14"/>
    <w:rsid w:val="00F34E0F"/>
    <w:rsid w:val="00F420D9"/>
    <w:rsid w:val="00F47837"/>
    <w:rsid w:val="00F65FC3"/>
    <w:rsid w:val="00F67AD4"/>
    <w:rsid w:val="00F7087F"/>
    <w:rsid w:val="00F867DD"/>
    <w:rsid w:val="00F91AC1"/>
    <w:rsid w:val="00F94162"/>
    <w:rsid w:val="00FD57A1"/>
    <w:rsid w:val="00FE599C"/>
    <w:rsid w:val="00FF093F"/>
    <w:rsid w:val="00FF41E1"/>
    <w:rsid w:val="01166843"/>
    <w:rsid w:val="02F809E2"/>
    <w:rsid w:val="04414801"/>
    <w:rsid w:val="04523525"/>
    <w:rsid w:val="07675800"/>
    <w:rsid w:val="07E35189"/>
    <w:rsid w:val="09FD0375"/>
    <w:rsid w:val="0B64113E"/>
    <w:rsid w:val="0C7F5CD8"/>
    <w:rsid w:val="0D2E476E"/>
    <w:rsid w:val="0E3323B2"/>
    <w:rsid w:val="101A4DDE"/>
    <w:rsid w:val="116454B7"/>
    <w:rsid w:val="11CD3961"/>
    <w:rsid w:val="128D6BB4"/>
    <w:rsid w:val="13A814F8"/>
    <w:rsid w:val="142A39AA"/>
    <w:rsid w:val="18F462C3"/>
    <w:rsid w:val="1A3C22BC"/>
    <w:rsid w:val="1C53586C"/>
    <w:rsid w:val="1D21151E"/>
    <w:rsid w:val="1DFC6D7A"/>
    <w:rsid w:val="1E1C617D"/>
    <w:rsid w:val="1E6F1EE9"/>
    <w:rsid w:val="1FD21068"/>
    <w:rsid w:val="21833BFB"/>
    <w:rsid w:val="23326A25"/>
    <w:rsid w:val="250817C9"/>
    <w:rsid w:val="273A4F88"/>
    <w:rsid w:val="28927C94"/>
    <w:rsid w:val="2BEA21C4"/>
    <w:rsid w:val="2F3B2D5A"/>
    <w:rsid w:val="2F3E30EF"/>
    <w:rsid w:val="309853B2"/>
    <w:rsid w:val="31902152"/>
    <w:rsid w:val="33F11027"/>
    <w:rsid w:val="35AA5BF4"/>
    <w:rsid w:val="3757083F"/>
    <w:rsid w:val="37995A57"/>
    <w:rsid w:val="389968CD"/>
    <w:rsid w:val="3B164554"/>
    <w:rsid w:val="3B774148"/>
    <w:rsid w:val="3BA2254D"/>
    <w:rsid w:val="3D771506"/>
    <w:rsid w:val="3E8A7D75"/>
    <w:rsid w:val="402B654B"/>
    <w:rsid w:val="40E66DE2"/>
    <w:rsid w:val="43D5363B"/>
    <w:rsid w:val="44EF4922"/>
    <w:rsid w:val="453870F5"/>
    <w:rsid w:val="45FE6F89"/>
    <w:rsid w:val="4ADF0518"/>
    <w:rsid w:val="4D2C130A"/>
    <w:rsid w:val="4D5212ED"/>
    <w:rsid w:val="4DAA3A47"/>
    <w:rsid w:val="4EA16C5D"/>
    <w:rsid w:val="4EDD5757"/>
    <w:rsid w:val="51E22B95"/>
    <w:rsid w:val="52CD7DA1"/>
    <w:rsid w:val="5374454A"/>
    <w:rsid w:val="547D42C3"/>
    <w:rsid w:val="55FA1630"/>
    <w:rsid w:val="56093C42"/>
    <w:rsid w:val="57EE044E"/>
    <w:rsid w:val="58042AEB"/>
    <w:rsid w:val="586B4198"/>
    <w:rsid w:val="591A7469"/>
    <w:rsid w:val="5C7B225B"/>
    <w:rsid w:val="5CCE5AD7"/>
    <w:rsid w:val="5F0A365F"/>
    <w:rsid w:val="5F0A3A93"/>
    <w:rsid w:val="617918C3"/>
    <w:rsid w:val="64432DE3"/>
    <w:rsid w:val="650B7A25"/>
    <w:rsid w:val="65936BD2"/>
    <w:rsid w:val="667051EB"/>
    <w:rsid w:val="69167732"/>
    <w:rsid w:val="6B93037E"/>
    <w:rsid w:val="6D2509E0"/>
    <w:rsid w:val="6E965F42"/>
    <w:rsid w:val="7136612B"/>
    <w:rsid w:val="72874BAE"/>
    <w:rsid w:val="73915D84"/>
    <w:rsid w:val="751C3AEB"/>
    <w:rsid w:val="77EE0AD0"/>
    <w:rsid w:val="78841308"/>
    <w:rsid w:val="79BBD1F0"/>
    <w:rsid w:val="79BC2B12"/>
    <w:rsid w:val="79DB2AF2"/>
    <w:rsid w:val="79F4675F"/>
    <w:rsid w:val="7C5028C4"/>
    <w:rsid w:val="7DF8774C"/>
    <w:rsid w:val="7EC951E2"/>
    <w:rsid w:val="7FFD44C5"/>
    <w:rsid w:val="FDFFE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10"/>
    <w:qFormat/>
    <w:uiPriority w:val="0"/>
    <w:pPr>
      <w:widowControl/>
      <w:adjustRightInd w:val="0"/>
      <w:snapToGrid w:val="0"/>
      <w:spacing w:line="360" w:lineRule="auto"/>
    </w:pPr>
    <w:rPr>
      <w:rFonts w:ascii="仿宋_GB2312" w:hAnsi="宋体" w:eastAsia="仿宋_GB2312"/>
      <w:kern w:val="0"/>
      <w:sz w:val="28"/>
      <w:szCs w:val="24"/>
    </w:r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rFonts w:ascii="Times New Roman" w:hAnsi="Times New Roman"/>
      <w:sz w:val="18"/>
      <w:szCs w:val="20"/>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Char"/>
    <w:link w:val="3"/>
    <w:qFormat/>
    <w:uiPriority w:val="0"/>
    <w:rPr>
      <w:rFonts w:ascii="仿宋_GB2312" w:hAnsi="宋体" w:eastAsia="仿宋_GB2312" w:cs="Times New Roman"/>
      <w:kern w:val="0"/>
      <w:sz w:val="28"/>
      <w:szCs w:val="24"/>
    </w:rPr>
  </w:style>
  <w:style w:type="character" w:customStyle="1" w:styleId="11">
    <w:name w:val="页脚 Char"/>
    <w:link w:val="5"/>
    <w:qFormat/>
    <w:uiPriority w:val="0"/>
    <w:rPr>
      <w:rFonts w:ascii="Times New Roman" w:hAnsi="Times New Roman" w:eastAsia="宋体" w:cs="Times New Roman"/>
      <w:sz w:val="18"/>
      <w:szCs w:val="20"/>
    </w:rPr>
  </w:style>
  <w:style w:type="paragraph" w:customStyle="1" w:styleId="12">
    <w:name w:val="列出段落1"/>
    <w:basedOn w:val="1"/>
    <w:qFormat/>
    <w:uiPriority w:val="34"/>
    <w:pPr>
      <w:ind w:firstLine="420" w:firstLineChars="200"/>
    </w:pPr>
  </w:style>
  <w:style w:type="character" w:customStyle="1" w:styleId="13">
    <w:name w:val="页眉 Char"/>
    <w:link w:val="6"/>
    <w:qFormat/>
    <w:uiPriority w:val="99"/>
    <w:rPr>
      <w:sz w:val="18"/>
      <w:szCs w:val="18"/>
    </w:rPr>
  </w:style>
  <w:style w:type="character" w:customStyle="1" w:styleId="14">
    <w:name w:val="批注框文本 Char"/>
    <w:link w:val="4"/>
    <w:semiHidden/>
    <w:qFormat/>
    <w:uiPriority w:val="99"/>
    <w:rPr>
      <w:sz w:val="18"/>
      <w:szCs w:val="18"/>
    </w:rPr>
  </w:style>
  <w:style w:type="character" w:customStyle="1" w:styleId="15">
    <w:name w:val="批注文字 Char"/>
    <w:basedOn w:val="8"/>
    <w:link w:val="2"/>
    <w:qFormat/>
    <w:uiPriority w:val="99"/>
  </w:style>
  <w:style w:type="paragraph" w:customStyle="1" w:styleId="16">
    <w:name w:val="列出段落11"/>
    <w:basedOn w:val="1"/>
    <w:qFormat/>
    <w:uiPriority w:val="34"/>
    <w:pPr>
      <w:ind w:firstLine="420" w:firstLineChars="200"/>
    </w:pPr>
    <w:rPr>
      <w:rFonts w:ascii="Times New Roman" w:hAnsi="Times New Roman"/>
      <w:szCs w:val="24"/>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506</Words>
  <Characters>2889</Characters>
  <Lines>24</Lines>
  <Paragraphs>6</Paragraphs>
  <TotalTime>3</TotalTime>
  <ScaleCrop>false</ScaleCrop>
  <LinksUpToDate>false</LinksUpToDate>
  <CharactersWithSpaces>3389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2020-09-23T02:12:00Z</dcterms:created>
  <dc:creator>lenovo</dc:creator>
  <cp:lastModifiedBy>fengjing</cp:lastModifiedBy>
  <cp:lastPrinted>2015-11-03T22:46:00Z</cp:lastPrinted>
  <dcterms:modified xsi:type="dcterms:W3CDTF">2020-12-24T15:49:23Z</dcterms:modified>
  <dc:title>附件3：</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