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napToGrid w:val="0"/>
        <w:spacing w:before="156" w:beforeLines="50" w:line="600" w:lineRule="exact"/>
        <w:rPr>
          <w:rFonts w:hint="eastAsia" w:ascii="黑体" w:hAnsi="黑体" w:eastAsia="黑体"/>
          <w:sz w:val="32"/>
          <w:szCs w:val="32"/>
        </w:rPr>
      </w:pPr>
      <w:r>
        <w:rPr>
          <w:rFonts w:hint="eastAsia" w:ascii="黑体" w:hAnsi="黑体" w:eastAsia="黑体"/>
          <w:sz w:val="32"/>
          <w:szCs w:val="32"/>
        </w:rPr>
        <w:t>附件3</w:t>
      </w:r>
    </w:p>
    <w:p>
      <w:pPr>
        <w:autoSpaceDN w:val="0"/>
        <w:adjustRightInd w:val="0"/>
        <w:snapToGrid w:val="0"/>
        <w:spacing w:before="156" w:beforeLines="50" w:line="600" w:lineRule="exact"/>
        <w:jc w:val="center"/>
        <w:rPr>
          <w:rFonts w:ascii="Calibri" w:hAnsi="Calibri"/>
          <w:b/>
          <w:bCs/>
          <w:sz w:val="28"/>
          <w:szCs w:val="28"/>
        </w:rPr>
      </w:pPr>
      <w:bookmarkStart w:id="0" w:name="_GoBack"/>
      <w:r>
        <w:rPr>
          <w:rFonts w:ascii="Calibri" w:hAnsi="Calibri"/>
          <w:b/>
          <w:bCs/>
          <w:sz w:val="32"/>
          <w:szCs w:val="32"/>
        </w:rPr>
        <w:t>月球样品借用协议</w:t>
      </w:r>
      <w:r>
        <w:rPr>
          <w:rFonts w:ascii="Calibri" w:hAnsi="Calibri"/>
          <w:b/>
          <w:bCs/>
          <w:sz w:val="28"/>
          <w:szCs w:val="28"/>
        </w:rPr>
        <w:t xml:space="preserve"> </w:t>
      </w:r>
    </w:p>
    <w:bookmarkEnd w:id="0"/>
    <w:p>
      <w:pPr>
        <w:autoSpaceDN w:val="0"/>
        <w:adjustRightInd w:val="0"/>
        <w:snapToGrid w:val="0"/>
        <w:spacing w:before="156" w:beforeLines="50" w:line="600" w:lineRule="exact"/>
        <w:rPr>
          <w:rFonts w:ascii="仿宋_GB2312" w:hAnsi="Calibri" w:eastAsia="仿宋_GB2312"/>
          <w:b/>
          <w:bCs/>
          <w:sz w:val="32"/>
          <w:szCs w:val="32"/>
        </w:rPr>
      </w:pPr>
      <w:r>
        <w:rPr>
          <w:rFonts w:hint="eastAsia" w:ascii="仿宋_GB2312" w:hAnsi="Calibri" w:eastAsia="仿宋_GB2312"/>
          <w:b/>
          <w:bCs/>
          <w:sz w:val="32"/>
          <w:szCs w:val="32"/>
        </w:rPr>
        <w:t>协议双方</w:t>
      </w:r>
    </w:p>
    <w:tbl>
      <w:tblPr>
        <w:tblStyle w:val="2"/>
        <w:tblW w:w="8046" w:type="dxa"/>
        <w:tblInd w:w="0" w:type="dxa"/>
        <w:tblLayout w:type="fixed"/>
        <w:tblCellMar>
          <w:top w:w="0" w:type="dxa"/>
          <w:left w:w="108" w:type="dxa"/>
          <w:bottom w:w="0" w:type="dxa"/>
          <w:right w:w="108" w:type="dxa"/>
        </w:tblCellMar>
      </w:tblPr>
      <w:tblGrid>
        <w:gridCol w:w="4261"/>
        <w:gridCol w:w="3785"/>
      </w:tblGrid>
      <w:tr>
        <w:tblPrEx>
          <w:tblCellMar>
            <w:top w:w="0" w:type="dxa"/>
            <w:left w:w="108" w:type="dxa"/>
            <w:bottom w:w="0" w:type="dxa"/>
            <w:right w:w="108" w:type="dxa"/>
          </w:tblCellMar>
        </w:tblPrEx>
        <w:tc>
          <w:tcPr>
            <w:tcW w:w="4261" w:type="dxa"/>
            <w:noWrap w:val="0"/>
            <w:vAlign w:val="top"/>
          </w:tcPr>
          <w:p>
            <w:pPr>
              <w:autoSpaceDN w:val="0"/>
              <w:adjustRightInd w:val="0"/>
              <w:snapToGrid w:val="0"/>
              <w:spacing w:before="156" w:beforeLines="50" w:line="600" w:lineRule="exact"/>
              <w:rPr>
                <w:rFonts w:hint="eastAsia" w:ascii="仿宋_GB2312" w:hAnsi="Calibri" w:eastAsia="仿宋_GB2312"/>
                <w:sz w:val="32"/>
                <w:szCs w:val="32"/>
              </w:rPr>
            </w:pPr>
            <w:r>
              <w:rPr>
                <w:rFonts w:hint="eastAsia" w:ascii="仿宋_GB2312" w:hAnsi="Calibri" w:eastAsia="仿宋_GB2312"/>
                <w:sz w:val="32"/>
                <w:szCs w:val="32"/>
              </w:rPr>
              <w:t>甲方：</w:t>
            </w:r>
          </w:p>
          <w:p>
            <w:pPr>
              <w:autoSpaceDN w:val="0"/>
              <w:adjustRightInd w:val="0"/>
              <w:snapToGrid w:val="0"/>
              <w:spacing w:before="156" w:beforeLines="50" w:line="600" w:lineRule="exact"/>
              <w:rPr>
                <w:rFonts w:hint="eastAsia" w:ascii="仿宋_GB2312" w:hAnsi="Calibri" w:eastAsia="仿宋_GB2312"/>
                <w:sz w:val="32"/>
                <w:szCs w:val="32"/>
                <w:u w:val="single"/>
              </w:rPr>
            </w:pPr>
            <w:r>
              <w:rPr>
                <w:rFonts w:hint="eastAsia" w:ascii="仿宋_GB2312" w:hAnsi="Calibri" w:eastAsia="仿宋_GB2312"/>
                <w:sz w:val="32"/>
                <w:szCs w:val="32"/>
                <w:u w:val="single"/>
              </w:rPr>
              <w:t>探月与航天工程中心_______</w:t>
            </w:r>
          </w:p>
        </w:tc>
        <w:tc>
          <w:tcPr>
            <w:tcW w:w="3785" w:type="dxa"/>
            <w:noWrap w:val="0"/>
            <w:vAlign w:val="top"/>
          </w:tcPr>
          <w:p>
            <w:pPr>
              <w:autoSpaceDN w:val="0"/>
              <w:adjustRightInd w:val="0"/>
              <w:snapToGrid w:val="0"/>
              <w:spacing w:before="156" w:beforeLines="50" w:line="600" w:lineRule="exact"/>
              <w:jc w:val="left"/>
              <w:rPr>
                <w:rFonts w:hint="eastAsia" w:ascii="仿宋_GB2312" w:hAnsi="Calibri" w:eastAsia="仿宋_GB2312"/>
                <w:sz w:val="32"/>
                <w:szCs w:val="32"/>
              </w:rPr>
            </w:pPr>
            <w:r>
              <w:rPr>
                <w:rFonts w:hint="eastAsia" w:ascii="仿宋_GB2312" w:hAnsi="Calibri" w:eastAsia="仿宋_GB2312"/>
                <w:sz w:val="32"/>
                <w:szCs w:val="32"/>
              </w:rPr>
              <w:t>乙方（</w:t>
            </w:r>
            <w:r>
              <w:rPr>
                <w:rFonts w:hint="eastAsia" w:ascii="仿宋_GB2312" w:hAnsi="Calibri" w:eastAsia="仿宋_GB2312"/>
                <w:spacing w:val="-20"/>
                <w:sz w:val="32"/>
                <w:szCs w:val="32"/>
              </w:rPr>
              <w:t>月球样品借用单位</w:t>
            </w:r>
            <w:r>
              <w:rPr>
                <w:rFonts w:hint="eastAsia" w:ascii="仿宋_GB2312" w:hAnsi="Calibri" w:eastAsia="仿宋_GB2312"/>
                <w:sz w:val="32"/>
                <w:szCs w:val="32"/>
              </w:rPr>
              <w:t>）：</w:t>
            </w:r>
          </w:p>
          <w:p>
            <w:pPr>
              <w:autoSpaceDN w:val="0"/>
              <w:adjustRightInd w:val="0"/>
              <w:snapToGrid w:val="0"/>
              <w:spacing w:before="156" w:beforeLines="50" w:line="600" w:lineRule="exact"/>
              <w:rPr>
                <w:rFonts w:hint="eastAsia" w:ascii="仿宋_GB2312" w:hAnsi="Calibri" w:eastAsia="仿宋_GB2312"/>
                <w:b/>
                <w:bCs/>
                <w:sz w:val="32"/>
                <w:szCs w:val="32"/>
                <w:u w:val="single"/>
              </w:rPr>
            </w:pPr>
            <w:r>
              <w:rPr>
                <w:rFonts w:hint="eastAsia" w:ascii="仿宋_GB2312" w:hAnsi="Calibri" w:eastAsia="仿宋_GB2312"/>
                <w:b/>
                <w:bCs/>
                <w:sz w:val="32"/>
                <w:szCs w:val="32"/>
                <w:u w:val="single"/>
              </w:rPr>
              <w:t>________________________</w:t>
            </w:r>
          </w:p>
        </w:tc>
      </w:tr>
      <w:tr>
        <w:tblPrEx>
          <w:tblCellMar>
            <w:top w:w="0" w:type="dxa"/>
            <w:left w:w="108" w:type="dxa"/>
            <w:bottom w:w="0" w:type="dxa"/>
            <w:right w:w="108" w:type="dxa"/>
          </w:tblCellMar>
        </w:tblPrEx>
        <w:tc>
          <w:tcPr>
            <w:tcW w:w="4261" w:type="dxa"/>
            <w:noWrap w:val="0"/>
            <w:vAlign w:val="top"/>
          </w:tcPr>
          <w:p>
            <w:pPr>
              <w:autoSpaceDN w:val="0"/>
              <w:adjustRightInd w:val="0"/>
              <w:snapToGrid w:val="0"/>
              <w:spacing w:before="156" w:beforeLines="50" w:line="600" w:lineRule="exact"/>
              <w:rPr>
                <w:rFonts w:hint="eastAsia" w:ascii="仿宋_GB2312" w:hAnsi="Calibri" w:eastAsia="仿宋_GB2312"/>
                <w:sz w:val="32"/>
                <w:szCs w:val="32"/>
              </w:rPr>
            </w:pPr>
            <w:r>
              <w:rPr>
                <w:rFonts w:hint="eastAsia" w:ascii="仿宋_GB2312" w:hAnsi="Calibri" w:eastAsia="仿宋_GB2312"/>
                <w:sz w:val="32"/>
                <w:szCs w:val="32"/>
              </w:rPr>
              <w:t>法定代表人：</w:t>
            </w:r>
          </w:p>
        </w:tc>
        <w:tc>
          <w:tcPr>
            <w:tcW w:w="3785" w:type="dxa"/>
            <w:noWrap w:val="0"/>
            <w:vAlign w:val="top"/>
          </w:tcPr>
          <w:p>
            <w:pPr>
              <w:autoSpaceDN w:val="0"/>
              <w:adjustRightInd w:val="0"/>
              <w:snapToGrid w:val="0"/>
              <w:spacing w:before="156" w:beforeLines="50" w:line="600" w:lineRule="exact"/>
              <w:rPr>
                <w:rFonts w:hint="eastAsia" w:ascii="仿宋_GB2312" w:hAnsi="Calibri" w:eastAsia="仿宋_GB2312"/>
                <w:sz w:val="32"/>
                <w:szCs w:val="32"/>
              </w:rPr>
            </w:pPr>
            <w:r>
              <w:rPr>
                <w:rFonts w:hint="eastAsia" w:ascii="仿宋_GB2312" w:hAnsi="Calibri" w:eastAsia="仿宋_GB2312"/>
                <w:sz w:val="32"/>
                <w:szCs w:val="32"/>
              </w:rPr>
              <w:t>法定代表人：</w:t>
            </w:r>
          </w:p>
        </w:tc>
      </w:tr>
      <w:tr>
        <w:tblPrEx>
          <w:tblCellMar>
            <w:top w:w="0" w:type="dxa"/>
            <w:left w:w="108" w:type="dxa"/>
            <w:bottom w:w="0" w:type="dxa"/>
            <w:right w:w="108" w:type="dxa"/>
          </w:tblCellMar>
        </w:tblPrEx>
        <w:tc>
          <w:tcPr>
            <w:tcW w:w="4261" w:type="dxa"/>
            <w:noWrap w:val="0"/>
            <w:vAlign w:val="top"/>
          </w:tcPr>
          <w:p>
            <w:pPr>
              <w:autoSpaceDN w:val="0"/>
              <w:adjustRightInd w:val="0"/>
              <w:snapToGrid w:val="0"/>
              <w:spacing w:before="156" w:beforeLines="50" w:line="600" w:lineRule="exact"/>
              <w:rPr>
                <w:rFonts w:hint="eastAsia" w:ascii="仿宋_GB2312" w:hAnsi="Calibri" w:eastAsia="仿宋_GB2312"/>
                <w:sz w:val="32"/>
                <w:szCs w:val="32"/>
              </w:rPr>
            </w:pPr>
            <w:r>
              <w:rPr>
                <w:rFonts w:hint="eastAsia" w:ascii="仿宋_GB2312" w:hAnsi="Calibri" w:eastAsia="仿宋_GB2312"/>
                <w:sz w:val="32"/>
                <w:szCs w:val="32"/>
              </w:rPr>
              <w:t>地址：</w:t>
            </w:r>
          </w:p>
        </w:tc>
        <w:tc>
          <w:tcPr>
            <w:tcW w:w="3785" w:type="dxa"/>
            <w:noWrap w:val="0"/>
            <w:vAlign w:val="top"/>
          </w:tcPr>
          <w:p>
            <w:pPr>
              <w:autoSpaceDN w:val="0"/>
              <w:adjustRightInd w:val="0"/>
              <w:snapToGrid w:val="0"/>
              <w:spacing w:before="156" w:beforeLines="50" w:line="600" w:lineRule="exact"/>
              <w:rPr>
                <w:rFonts w:hint="eastAsia" w:ascii="仿宋_GB2312" w:hAnsi="Calibri" w:eastAsia="仿宋_GB2312"/>
                <w:sz w:val="32"/>
                <w:szCs w:val="32"/>
              </w:rPr>
            </w:pPr>
            <w:r>
              <w:rPr>
                <w:rFonts w:hint="eastAsia" w:ascii="仿宋_GB2312" w:hAnsi="Calibri" w:eastAsia="仿宋_GB2312"/>
                <w:sz w:val="32"/>
                <w:szCs w:val="32"/>
              </w:rPr>
              <w:t>地址：</w:t>
            </w:r>
          </w:p>
        </w:tc>
      </w:tr>
      <w:tr>
        <w:tc>
          <w:tcPr>
            <w:tcW w:w="4261" w:type="dxa"/>
            <w:noWrap w:val="0"/>
            <w:vAlign w:val="top"/>
          </w:tcPr>
          <w:p>
            <w:pPr>
              <w:autoSpaceDN w:val="0"/>
              <w:adjustRightInd w:val="0"/>
              <w:snapToGrid w:val="0"/>
              <w:spacing w:before="156" w:beforeLines="50" w:line="600" w:lineRule="exact"/>
              <w:rPr>
                <w:rFonts w:hint="eastAsia" w:ascii="仿宋_GB2312" w:hAnsi="Calibri" w:eastAsia="仿宋_GB2312"/>
                <w:sz w:val="32"/>
                <w:szCs w:val="32"/>
              </w:rPr>
            </w:pPr>
            <w:r>
              <w:rPr>
                <w:rFonts w:hint="eastAsia" w:ascii="仿宋_GB2312" w:hAnsi="Calibri" w:eastAsia="仿宋_GB2312"/>
                <w:sz w:val="32"/>
                <w:szCs w:val="32"/>
              </w:rPr>
              <w:t>邮政编码：</w:t>
            </w:r>
          </w:p>
        </w:tc>
        <w:tc>
          <w:tcPr>
            <w:tcW w:w="3785" w:type="dxa"/>
            <w:noWrap w:val="0"/>
            <w:vAlign w:val="top"/>
          </w:tcPr>
          <w:p>
            <w:pPr>
              <w:autoSpaceDN w:val="0"/>
              <w:adjustRightInd w:val="0"/>
              <w:snapToGrid w:val="0"/>
              <w:spacing w:before="156" w:beforeLines="50" w:line="600" w:lineRule="exact"/>
              <w:rPr>
                <w:rFonts w:hint="eastAsia" w:ascii="仿宋_GB2312" w:hAnsi="Calibri" w:eastAsia="仿宋_GB2312"/>
                <w:sz w:val="32"/>
                <w:szCs w:val="32"/>
              </w:rPr>
            </w:pPr>
            <w:r>
              <w:rPr>
                <w:rFonts w:hint="eastAsia" w:ascii="仿宋_GB2312" w:hAnsi="Calibri" w:eastAsia="仿宋_GB2312"/>
                <w:sz w:val="32"/>
                <w:szCs w:val="32"/>
              </w:rPr>
              <w:t>邮政编码：</w:t>
            </w:r>
          </w:p>
        </w:tc>
      </w:tr>
      <w:tr>
        <w:tblPrEx>
          <w:tblCellMar>
            <w:top w:w="0" w:type="dxa"/>
            <w:left w:w="108" w:type="dxa"/>
            <w:bottom w:w="0" w:type="dxa"/>
            <w:right w:w="108" w:type="dxa"/>
          </w:tblCellMar>
        </w:tblPrEx>
        <w:tc>
          <w:tcPr>
            <w:tcW w:w="4261" w:type="dxa"/>
            <w:noWrap w:val="0"/>
            <w:vAlign w:val="top"/>
          </w:tcPr>
          <w:p>
            <w:pPr>
              <w:autoSpaceDN w:val="0"/>
              <w:adjustRightInd w:val="0"/>
              <w:snapToGrid w:val="0"/>
              <w:spacing w:before="156" w:beforeLines="50" w:line="600" w:lineRule="exact"/>
              <w:rPr>
                <w:rFonts w:hint="eastAsia" w:ascii="仿宋_GB2312" w:hAnsi="Calibri" w:eastAsia="仿宋_GB2312"/>
                <w:sz w:val="32"/>
                <w:szCs w:val="32"/>
              </w:rPr>
            </w:pPr>
            <w:r>
              <w:rPr>
                <w:rFonts w:hint="eastAsia" w:ascii="仿宋_GB2312" w:hAnsi="Calibri" w:eastAsia="仿宋_GB2312"/>
                <w:sz w:val="32"/>
                <w:szCs w:val="32"/>
              </w:rPr>
              <w:t>联系方式：</w:t>
            </w:r>
          </w:p>
        </w:tc>
        <w:tc>
          <w:tcPr>
            <w:tcW w:w="3785" w:type="dxa"/>
            <w:noWrap w:val="0"/>
            <w:vAlign w:val="top"/>
          </w:tcPr>
          <w:p>
            <w:pPr>
              <w:autoSpaceDN w:val="0"/>
              <w:adjustRightInd w:val="0"/>
              <w:snapToGrid w:val="0"/>
              <w:spacing w:before="156" w:beforeLines="50" w:line="600" w:lineRule="exact"/>
              <w:rPr>
                <w:rFonts w:hint="eastAsia" w:ascii="仿宋_GB2312" w:hAnsi="Calibri" w:eastAsia="仿宋_GB2312"/>
                <w:sz w:val="32"/>
                <w:szCs w:val="32"/>
              </w:rPr>
            </w:pPr>
            <w:r>
              <w:rPr>
                <w:rFonts w:hint="eastAsia" w:ascii="仿宋_GB2312" w:hAnsi="Calibri" w:eastAsia="仿宋_GB2312"/>
                <w:sz w:val="32"/>
                <w:szCs w:val="32"/>
              </w:rPr>
              <w:t>联系方式：</w:t>
            </w:r>
          </w:p>
        </w:tc>
      </w:tr>
    </w:tbl>
    <w:p>
      <w:pPr>
        <w:autoSpaceDN w:val="0"/>
        <w:adjustRightInd w:val="0"/>
        <w:snapToGrid w:val="0"/>
        <w:spacing w:before="156" w:beforeLines="50" w:line="600" w:lineRule="exact"/>
        <w:rPr>
          <w:rFonts w:hint="eastAsia" w:ascii="仿宋_GB2312" w:hAnsi="Calibri" w:eastAsia="仿宋_GB2312"/>
          <w:b/>
          <w:bCs/>
          <w:sz w:val="32"/>
          <w:szCs w:val="32"/>
        </w:rPr>
      </w:pPr>
      <w:r>
        <w:rPr>
          <w:rFonts w:hint="eastAsia" w:ascii="仿宋_GB2312" w:hAnsi="Calibri" w:eastAsia="仿宋_GB2312"/>
          <w:b/>
          <w:bCs/>
          <w:sz w:val="32"/>
          <w:szCs w:val="32"/>
        </w:rPr>
        <w:t>目的</w:t>
      </w:r>
    </w:p>
    <w:p>
      <w:pPr>
        <w:autoSpaceDN w:val="0"/>
        <w:spacing w:line="6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本协议由探月与航天工程中心（以下简称探月中心）和借用申请单位签订。通过签署本借用协议，借用单位使用探月中心提供的月球样品进行相关科学研究或公益活动（科普、教育、展览等）。</w:t>
      </w:r>
    </w:p>
    <w:p>
      <w:pPr>
        <w:autoSpaceDN w:val="0"/>
        <w:adjustRightInd w:val="0"/>
        <w:snapToGrid w:val="0"/>
        <w:spacing w:before="156" w:beforeLines="50" w:line="600" w:lineRule="exact"/>
        <w:rPr>
          <w:rFonts w:hint="eastAsia" w:ascii="仿宋_GB2312" w:hAnsi="Calibri" w:eastAsia="仿宋_GB2312"/>
          <w:b/>
          <w:bCs/>
          <w:sz w:val="32"/>
          <w:szCs w:val="32"/>
        </w:rPr>
      </w:pPr>
      <w:r>
        <w:rPr>
          <w:rFonts w:hint="eastAsia" w:ascii="仿宋_GB2312" w:hAnsi="Calibri" w:eastAsia="仿宋_GB2312"/>
          <w:b/>
          <w:bCs/>
          <w:sz w:val="32"/>
          <w:szCs w:val="32"/>
        </w:rPr>
        <w:t>样品借用期限</w:t>
      </w:r>
    </w:p>
    <w:p>
      <w:pPr>
        <w:autoSpaceDN w:val="0"/>
        <w:spacing w:line="6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借用单位[借用单位名称]于</w:t>
      </w:r>
      <w:r>
        <w:rPr>
          <w:rFonts w:hint="eastAsia" w:ascii="仿宋_GB2312" w:hAnsi="Calibri" w:eastAsia="仿宋_GB2312"/>
          <w:sz w:val="32"/>
          <w:szCs w:val="32"/>
          <w:u w:val="single"/>
        </w:rPr>
        <w:t xml:space="preserve">    </w:t>
      </w:r>
      <w:r>
        <w:rPr>
          <w:rFonts w:hint="eastAsia" w:ascii="仿宋_GB2312" w:hAnsi="Calibri" w:eastAsia="仿宋_GB2312"/>
          <w:sz w:val="32"/>
          <w:szCs w:val="32"/>
        </w:rPr>
        <w:t>年</w:t>
      </w:r>
      <w:r>
        <w:rPr>
          <w:rFonts w:hint="eastAsia" w:ascii="仿宋_GB2312" w:hAnsi="Calibri" w:eastAsia="仿宋_GB2312"/>
          <w:sz w:val="32"/>
          <w:szCs w:val="32"/>
          <w:u w:val="single"/>
        </w:rPr>
        <w:t xml:space="preserve">    </w:t>
      </w:r>
      <w:r>
        <w:rPr>
          <w:rFonts w:hint="eastAsia" w:ascii="仿宋_GB2312" w:hAnsi="Calibri" w:eastAsia="仿宋_GB2312"/>
          <w:sz w:val="32"/>
          <w:szCs w:val="32"/>
        </w:rPr>
        <w:t>月</w:t>
      </w:r>
      <w:r>
        <w:rPr>
          <w:rFonts w:hint="eastAsia" w:ascii="仿宋_GB2312" w:hAnsi="Calibri" w:eastAsia="仿宋_GB2312"/>
          <w:sz w:val="32"/>
          <w:szCs w:val="32"/>
          <w:u w:val="single"/>
        </w:rPr>
        <w:t xml:space="preserve">    </w:t>
      </w:r>
      <w:r>
        <w:rPr>
          <w:rFonts w:hint="eastAsia" w:ascii="仿宋_GB2312" w:hAnsi="Calibri" w:eastAsia="仿宋_GB2312"/>
          <w:sz w:val="32"/>
          <w:szCs w:val="32"/>
        </w:rPr>
        <w:t>日至</w:t>
      </w:r>
      <w:r>
        <w:rPr>
          <w:rFonts w:hint="eastAsia" w:ascii="仿宋_GB2312" w:hAnsi="Calibri" w:eastAsia="仿宋_GB2312"/>
          <w:sz w:val="32"/>
          <w:szCs w:val="32"/>
          <w:u w:val="single"/>
        </w:rPr>
        <w:t xml:space="preserve">    </w:t>
      </w:r>
      <w:r>
        <w:rPr>
          <w:rFonts w:hint="eastAsia" w:ascii="仿宋_GB2312" w:hAnsi="Calibri" w:eastAsia="仿宋_GB2312"/>
          <w:sz w:val="32"/>
          <w:szCs w:val="32"/>
        </w:rPr>
        <w:t>年</w:t>
      </w:r>
      <w:r>
        <w:rPr>
          <w:rFonts w:hint="eastAsia" w:ascii="仿宋_GB2312" w:hAnsi="Calibri" w:eastAsia="仿宋_GB2312"/>
          <w:sz w:val="32"/>
          <w:szCs w:val="32"/>
          <w:u w:val="single"/>
        </w:rPr>
        <w:t xml:space="preserve">    </w:t>
      </w:r>
      <w:r>
        <w:rPr>
          <w:rFonts w:hint="eastAsia" w:ascii="仿宋_GB2312" w:hAnsi="Calibri" w:eastAsia="仿宋_GB2312"/>
          <w:sz w:val="32"/>
          <w:szCs w:val="32"/>
        </w:rPr>
        <w:t>月</w:t>
      </w:r>
      <w:r>
        <w:rPr>
          <w:rFonts w:hint="eastAsia" w:ascii="仿宋_GB2312" w:hAnsi="Calibri" w:eastAsia="仿宋_GB2312"/>
          <w:sz w:val="32"/>
          <w:szCs w:val="32"/>
          <w:u w:val="single"/>
        </w:rPr>
        <w:t xml:space="preserve">    </w:t>
      </w:r>
      <w:r>
        <w:rPr>
          <w:rFonts w:hint="eastAsia" w:ascii="仿宋_GB2312" w:hAnsi="Calibri" w:eastAsia="仿宋_GB2312"/>
          <w:sz w:val="32"/>
          <w:szCs w:val="32"/>
        </w:rPr>
        <w:t>日借用[样品名称]样品。样品基本信息如下：[编号、类型、质量等]。</w:t>
      </w:r>
    </w:p>
    <w:p>
      <w:pPr>
        <w:autoSpaceDN w:val="0"/>
        <w:adjustRightInd w:val="0"/>
        <w:snapToGrid w:val="0"/>
        <w:spacing w:before="156" w:beforeLines="50" w:line="600" w:lineRule="exact"/>
        <w:rPr>
          <w:rFonts w:hint="eastAsia" w:ascii="仿宋_GB2312" w:hAnsi="Calibri" w:eastAsia="仿宋_GB2312"/>
          <w:b/>
          <w:bCs/>
          <w:sz w:val="32"/>
          <w:szCs w:val="32"/>
        </w:rPr>
      </w:pPr>
      <w:r>
        <w:rPr>
          <w:rFonts w:hint="eastAsia" w:ascii="仿宋_GB2312" w:hAnsi="Calibri" w:eastAsia="仿宋_GB2312"/>
          <w:b/>
          <w:bCs/>
          <w:sz w:val="32"/>
          <w:szCs w:val="32"/>
        </w:rPr>
        <w:t>责任条款</w:t>
      </w:r>
    </w:p>
    <w:p>
      <w:pPr>
        <w:autoSpaceDN w:val="0"/>
        <w:spacing w:line="600" w:lineRule="exact"/>
        <w:ind w:firstLine="560"/>
        <w:rPr>
          <w:rFonts w:hint="eastAsia" w:ascii="仿宋_GB2312" w:hAnsi="Calibri" w:eastAsia="仿宋_GB2312"/>
          <w:sz w:val="32"/>
          <w:szCs w:val="32"/>
        </w:rPr>
      </w:pPr>
      <w:r>
        <w:rPr>
          <w:rFonts w:hint="eastAsia" w:ascii="仿宋_GB2312" w:hAnsi="Calibri" w:eastAsia="仿宋_GB2312"/>
          <w:sz w:val="32"/>
          <w:szCs w:val="32"/>
        </w:rPr>
        <w:t>双方同意如下事宜：</w:t>
      </w:r>
    </w:p>
    <w:p>
      <w:pPr>
        <w:autoSpaceDN w:val="0"/>
        <w:spacing w:line="600" w:lineRule="exact"/>
        <w:ind w:firstLine="560"/>
        <w:rPr>
          <w:rFonts w:hint="eastAsia" w:ascii="仿宋_GB2312" w:hAnsi="Calibri" w:eastAsia="仿宋_GB2312"/>
          <w:sz w:val="32"/>
          <w:szCs w:val="32"/>
        </w:rPr>
      </w:pPr>
      <w:r>
        <w:rPr>
          <w:rFonts w:hint="eastAsia" w:ascii="仿宋_GB2312" w:hAnsi="Calibri" w:eastAsia="仿宋_GB2312"/>
          <w:sz w:val="32"/>
          <w:szCs w:val="32"/>
        </w:rPr>
        <w:t>一、</w:t>
      </w:r>
      <w:r>
        <w:rPr>
          <w:rFonts w:hint="eastAsia" w:ascii="仿宋_GB2312" w:hAnsi="Calibri" w:eastAsia="仿宋_GB2312"/>
          <w:sz w:val="32"/>
          <w:szCs w:val="32"/>
        </w:rPr>
        <w:tab/>
      </w:r>
      <w:r>
        <w:rPr>
          <w:rFonts w:hint="eastAsia" w:ascii="仿宋_GB2312" w:hAnsi="Calibri" w:eastAsia="仿宋_GB2312"/>
          <w:sz w:val="32"/>
          <w:szCs w:val="32"/>
        </w:rPr>
        <w:t>对于本借用协议所涉及的月球样品，应根据《月球样品管理办法》，由中国科学院国家天文台（简称国家天文台）分发给借用申请单位。</w:t>
      </w:r>
    </w:p>
    <w:p>
      <w:pPr>
        <w:autoSpaceDN w:val="0"/>
        <w:spacing w:line="600" w:lineRule="exact"/>
        <w:ind w:firstLine="560"/>
        <w:rPr>
          <w:rFonts w:hint="eastAsia" w:ascii="仿宋_GB2312" w:hAnsi="Calibri" w:eastAsia="仿宋_GB2312"/>
          <w:sz w:val="32"/>
          <w:szCs w:val="32"/>
        </w:rPr>
      </w:pPr>
      <w:r>
        <w:rPr>
          <w:rFonts w:hint="eastAsia" w:ascii="仿宋_GB2312" w:hAnsi="Calibri" w:eastAsia="仿宋_GB2312"/>
          <w:sz w:val="32"/>
          <w:szCs w:val="32"/>
        </w:rPr>
        <w:t>二、月球样品借用单位和使用责任人承担如下责任：</w:t>
      </w:r>
    </w:p>
    <w:p>
      <w:pPr>
        <w:autoSpaceDN w:val="0"/>
        <w:spacing w:line="600" w:lineRule="exact"/>
        <w:ind w:firstLine="426"/>
        <w:rPr>
          <w:rFonts w:hint="eastAsia" w:ascii="仿宋_GB2312" w:hAnsi="Calibri" w:eastAsia="仿宋_GB2312"/>
          <w:sz w:val="32"/>
          <w:szCs w:val="32"/>
        </w:rPr>
      </w:pPr>
      <w:r>
        <w:rPr>
          <w:rFonts w:hint="eastAsia" w:ascii="仿宋_GB2312" w:hAnsi="Calibri" w:eastAsia="仿宋_GB2312"/>
          <w:sz w:val="32"/>
          <w:szCs w:val="32"/>
        </w:rPr>
        <w:t>（一）严格执行《月球样品管理办法》的各项规定。</w:t>
      </w:r>
    </w:p>
    <w:p>
      <w:pPr>
        <w:autoSpaceDN w:val="0"/>
        <w:spacing w:line="600" w:lineRule="exact"/>
        <w:ind w:firstLine="426"/>
        <w:rPr>
          <w:rFonts w:hint="eastAsia" w:ascii="仿宋_GB2312" w:hAnsi="Calibri" w:eastAsia="仿宋_GB2312"/>
          <w:sz w:val="32"/>
          <w:szCs w:val="32"/>
        </w:rPr>
      </w:pPr>
      <w:r>
        <w:rPr>
          <w:rFonts w:hint="eastAsia" w:ascii="仿宋_GB2312" w:hAnsi="Calibri" w:eastAsia="仿宋_GB2312"/>
          <w:sz w:val="32"/>
          <w:szCs w:val="32"/>
        </w:rPr>
        <w:t>（二）月球样品应由借用单位使用责任人接收和返还（费用由借用单位承担）。</w:t>
      </w:r>
    </w:p>
    <w:p>
      <w:pPr>
        <w:autoSpaceDN w:val="0"/>
        <w:spacing w:line="600" w:lineRule="exact"/>
        <w:ind w:firstLine="426"/>
        <w:rPr>
          <w:rFonts w:hint="eastAsia" w:ascii="仿宋_GB2312" w:hAnsi="Calibri" w:eastAsia="仿宋_GB2312"/>
          <w:sz w:val="32"/>
          <w:szCs w:val="32"/>
        </w:rPr>
      </w:pPr>
      <w:r>
        <w:rPr>
          <w:rFonts w:hint="eastAsia" w:ascii="仿宋_GB2312" w:hAnsi="Calibri" w:eastAsia="仿宋_GB2312"/>
          <w:sz w:val="32"/>
          <w:szCs w:val="32"/>
        </w:rPr>
        <w:t>（三）只有借用单位使用责任人和其申请团队成员才能对月球样品进行使用，并确保月球样品始终处于使用责任人的管理监控下。</w:t>
      </w:r>
    </w:p>
    <w:p>
      <w:pPr>
        <w:autoSpaceDN w:val="0"/>
        <w:spacing w:line="600" w:lineRule="exact"/>
        <w:ind w:firstLine="560"/>
        <w:rPr>
          <w:rFonts w:hint="eastAsia" w:ascii="仿宋_GB2312" w:hAnsi="Calibri" w:eastAsia="仿宋_GB2312"/>
          <w:sz w:val="32"/>
          <w:szCs w:val="32"/>
        </w:rPr>
      </w:pPr>
      <w:r>
        <w:rPr>
          <w:rFonts w:hint="eastAsia" w:ascii="仿宋_GB2312" w:hAnsi="Calibri" w:eastAsia="仿宋_GB2312"/>
          <w:sz w:val="32"/>
          <w:szCs w:val="32"/>
        </w:rPr>
        <w:t>三、</w:t>
      </w:r>
      <w:r>
        <w:rPr>
          <w:rFonts w:hint="eastAsia" w:ascii="仿宋_GB2312" w:hAnsi="Calibri" w:eastAsia="仿宋_GB2312"/>
          <w:sz w:val="32"/>
          <w:szCs w:val="32"/>
        </w:rPr>
        <w:tab/>
      </w:r>
      <w:r>
        <w:rPr>
          <w:rFonts w:hint="eastAsia" w:ascii="仿宋_GB2312" w:hAnsi="Calibri" w:eastAsia="仿宋_GB2312"/>
          <w:sz w:val="32"/>
          <w:szCs w:val="32"/>
        </w:rPr>
        <w:t>借用单位使用责任人应准确记录所借用的月球样品的名称、编号、类型、质量、形态等全部使用信息，有损（消耗性和破坏性）实验样品应提供完整的视频记录。这些记录由借用单位使用责任人签署，并由借用单位法定代表人确认。</w:t>
      </w:r>
    </w:p>
    <w:p>
      <w:pPr>
        <w:autoSpaceDN w:val="0"/>
        <w:adjustRightInd w:val="0"/>
        <w:snapToGrid w:val="0"/>
        <w:spacing w:line="600" w:lineRule="exact"/>
        <w:ind w:firstLine="561"/>
        <w:rPr>
          <w:rFonts w:hint="eastAsia" w:ascii="仿宋_GB2312" w:hAnsi="Calibri" w:eastAsia="仿宋_GB2312"/>
          <w:sz w:val="32"/>
          <w:szCs w:val="32"/>
        </w:rPr>
      </w:pPr>
      <w:r>
        <w:rPr>
          <w:rFonts w:hint="eastAsia" w:ascii="仿宋_GB2312" w:hAnsi="Calibri" w:eastAsia="仿宋_GB2312"/>
          <w:sz w:val="32"/>
          <w:szCs w:val="32"/>
        </w:rPr>
        <w:t>四、</w:t>
      </w:r>
      <w:r>
        <w:rPr>
          <w:rFonts w:hint="eastAsia" w:ascii="仿宋_GB2312" w:hAnsi="Calibri" w:eastAsia="仿宋_GB2312"/>
          <w:sz w:val="32"/>
          <w:szCs w:val="32"/>
        </w:rPr>
        <w:tab/>
      </w:r>
      <w:r>
        <w:rPr>
          <w:rFonts w:hint="eastAsia" w:ascii="仿宋_GB2312" w:hAnsi="Calibri" w:eastAsia="仿宋_GB2312"/>
          <w:sz w:val="32"/>
          <w:szCs w:val="32"/>
        </w:rPr>
        <w:t>借用单位及使用责任人应根据探月中心批准的科研计划和公益活动使用月球样品。如有违反，探月中心有权提前终止月球样品的借用。</w:t>
      </w:r>
    </w:p>
    <w:p>
      <w:pPr>
        <w:autoSpaceDN w:val="0"/>
        <w:spacing w:line="600" w:lineRule="exact"/>
        <w:ind w:firstLine="560"/>
        <w:rPr>
          <w:rFonts w:hint="eastAsia" w:ascii="仿宋_GB2312" w:hAnsi="Calibri" w:eastAsia="仿宋_GB2312"/>
          <w:sz w:val="32"/>
          <w:szCs w:val="32"/>
        </w:rPr>
      </w:pPr>
      <w:r>
        <w:rPr>
          <w:rFonts w:hint="eastAsia" w:ascii="仿宋_GB2312" w:hAnsi="Calibri" w:eastAsia="仿宋_GB2312"/>
          <w:sz w:val="32"/>
          <w:szCs w:val="32"/>
        </w:rPr>
        <w:t>五、借用单位应优先按照下列建议的存储条件对月球样品进行保存，防止受到污染。</w:t>
      </w:r>
    </w:p>
    <w:p>
      <w:pPr>
        <w:autoSpaceDN w:val="0"/>
        <w:adjustRightInd w:val="0"/>
        <w:snapToGrid w:val="0"/>
        <w:spacing w:line="600" w:lineRule="exact"/>
        <w:ind w:firstLine="561"/>
        <w:rPr>
          <w:rFonts w:hint="eastAsia" w:ascii="仿宋_GB2312" w:hAnsi="Calibri" w:eastAsia="仿宋_GB2312"/>
          <w:sz w:val="32"/>
          <w:szCs w:val="32"/>
        </w:rPr>
      </w:pPr>
      <w:r>
        <w:rPr>
          <w:rFonts w:hint="eastAsia" w:ascii="仿宋_GB2312" w:hAnsi="Calibri" w:eastAsia="仿宋_GB2312"/>
          <w:sz w:val="32"/>
          <w:szCs w:val="32"/>
        </w:rPr>
        <w:t>（一）公益样品保存条件。</w:t>
      </w:r>
    </w:p>
    <w:p>
      <w:pPr>
        <w:autoSpaceDN w:val="0"/>
        <w:adjustRightInd w:val="0"/>
        <w:snapToGrid w:val="0"/>
        <w:spacing w:line="600" w:lineRule="exact"/>
        <w:ind w:firstLine="561"/>
        <w:rPr>
          <w:rFonts w:hint="eastAsia" w:ascii="仿宋_GB2312" w:hAnsi="Calibri" w:eastAsia="仿宋_GB2312"/>
          <w:sz w:val="32"/>
          <w:szCs w:val="32"/>
        </w:rPr>
      </w:pPr>
      <w:r>
        <w:rPr>
          <w:rFonts w:hint="eastAsia" w:ascii="仿宋_GB2312" w:hAnsi="Calibri" w:eastAsia="仿宋_GB2312"/>
          <w:sz w:val="32"/>
          <w:szCs w:val="32"/>
        </w:rPr>
        <w:t>用于科普、教育、展示的公益样品可以在自然环境下保存和展示。如果借用单位有条件，建议将样品保存在小型氮气柜中。</w:t>
      </w:r>
    </w:p>
    <w:p>
      <w:pPr>
        <w:autoSpaceDN w:val="0"/>
        <w:adjustRightInd w:val="0"/>
        <w:snapToGrid w:val="0"/>
        <w:spacing w:line="600" w:lineRule="exact"/>
        <w:ind w:firstLine="561"/>
        <w:rPr>
          <w:rFonts w:hint="eastAsia" w:ascii="仿宋_GB2312" w:hAnsi="Calibri" w:eastAsia="仿宋_GB2312"/>
          <w:sz w:val="32"/>
          <w:szCs w:val="32"/>
        </w:rPr>
      </w:pPr>
      <w:r>
        <w:rPr>
          <w:rFonts w:hint="eastAsia" w:ascii="仿宋_GB2312" w:hAnsi="Calibri" w:eastAsia="仿宋_GB2312"/>
          <w:sz w:val="32"/>
          <w:szCs w:val="32"/>
        </w:rPr>
        <w:t>（二）研究样品保存条件。</w:t>
      </w:r>
    </w:p>
    <w:p>
      <w:pPr>
        <w:autoSpaceDN w:val="0"/>
        <w:adjustRightInd w:val="0"/>
        <w:snapToGrid w:val="0"/>
        <w:spacing w:line="600" w:lineRule="exact"/>
        <w:ind w:firstLine="561"/>
        <w:rPr>
          <w:rFonts w:hint="eastAsia" w:ascii="仿宋_GB2312" w:hAnsi="Calibri" w:eastAsia="仿宋_GB2312"/>
          <w:sz w:val="32"/>
          <w:szCs w:val="32"/>
        </w:rPr>
      </w:pPr>
      <w:r>
        <w:rPr>
          <w:rFonts w:hint="eastAsia" w:ascii="仿宋_GB2312" w:hAnsi="Calibri" w:eastAsia="仿宋_GB2312"/>
          <w:sz w:val="32"/>
          <w:szCs w:val="32"/>
        </w:rPr>
        <w:t>研究样品包括不接触大气的原始月球样品和接触大气的月球样品两种形式。</w:t>
      </w:r>
    </w:p>
    <w:p>
      <w:pPr>
        <w:autoSpaceDN w:val="0"/>
        <w:adjustRightInd w:val="0"/>
        <w:snapToGrid w:val="0"/>
        <w:spacing w:line="600" w:lineRule="exact"/>
        <w:ind w:firstLine="561"/>
        <w:rPr>
          <w:rFonts w:hint="eastAsia" w:ascii="仿宋_GB2312" w:hAnsi="Calibri" w:eastAsia="仿宋_GB2312"/>
          <w:sz w:val="32"/>
          <w:szCs w:val="32"/>
        </w:rPr>
      </w:pPr>
      <w:r>
        <w:rPr>
          <w:rFonts w:hint="eastAsia" w:ascii="仿宋_GB2312" w:hAnsi="Calibri" w:eastAsia="仿宋_GB2312"/>
          <w:sz w:val="32"/>
          <w:szCs w:val="32"/>
        </w:rPr>
        <w:t>1.原始月球样品。</w:t>
      </w:r>
    </w:p>
    <w:p>
      <w:pPr>
        <w:autoSpaceDN w:val="0"/>
        <w:adjustRightInd w:val="0"/>
        <w:snapToGrid w:val="0"/>
        <w:spacing w:line="600" w:lineRule="exact"/>
        <w:ind w:firstLine="561"/>
        <w:rPr>
          <w:rFonts w:hint="eastAsia" w:ascii="仿宋_GB2312" w:hAnsi="Calibri" w:eastAsia="仿宋_GB2312"/>
          <w:sz w:val="32"/>
          <w:szCs w:val="32"/>
        </w:rPr>
      </w:pPr>
      <w:r>
        <w:rPr>
          <w:rFonts w:hint="eastAsia" w:ascii="仿宋_GB2312" w:hAnsi="Calibri" w:eastAsia="仿宋_GB2312"/>
          <w:sz w:val="32"/>
          <w:szCs w:val="32"/>
        </w:rPr>
        <w:t>这类样品是存储机构制备的原始月球样品，主要用于物理形式测试等非破坏性无损试验。在研究过程中，样品不接触大气，且能够回收利用。保存条件建议：</w:t>
      </w:r>
    </w:p>
    <w:p>
      <w:pPr>
        <w:autoSpaceDN w:val="0"/>
        <w:adjustRightInd w:val="0"/>
        <w:snapToGrid w:val="0"/>
        <w:spacing w:line="600" w:lineRule="exact"/>
        <w:ind w:firstLine="561"/>
        <w:rPr>
          <w:rFonts w:hint="eastAsia" w:ascii="仿宋_GB2312" w:hAnsi="Calibri" w:eastAsia="仿宋_GB2312"/>
          <w:sz w:val="32"/>
          <w:szCs w:val="32"/>
        </w:rPr>
      </w:pPr>
      <w:r>
        <w:rPr>
          <w:rFonts w:hint="eastAsia" w:ascii="仿宋_GB2312" w:hAnsi="Calibri" w:eastAsia="仿宋_GB2312"/>
          <w:sz w:val="32"/>
          <w:szCs w:val="32"/>
        </w:rPr>
        <w:t>（1）室内环境：达到万级洁净室标准；环境温度条件以维持天然常温常压为主，避免出现大幅变化；湿度达到超净化学实验室要求和标准。整个实验室需要具备除湿设施以保持干燥。</w:t>
      </w:r>
    </w:p>
    <w:p>
      <w:pPr>
        <w:autoSpaceDN w:val="0"/>
        <w:adjustRightInd w:val="0"/>
        <w:snapToGrid w:val="0"/>
        <w:spacing w:line="600" w:lineRule="exact"/>
        <w:ind w:firstLine="561"/>
        <w:rPr>
          <w:rFonts w:hint="eastAsia" w:ascii="仿宋_GB2312" w:hAnsi="Calibri" w:eastAsia="仿宋_GB2312"/>
          <w:sz w:val="32"/>
          <w:szCs w:val="32"/>
        </w:rPr>
      </w:pPr>
      <w:r>
        <w:rPr>
          <w:rFonts w:hint="eastAsia" w:ascii="仿宋_GB2312" w:hAnsi="Calibri" w:eastAsia="仿宋_GB2312"/>
          <w:sz w:val="32"/>
          <w:szCs w:val="32"/>
        </w:rPr>
        <w:t>（2）保存环境：建议采用高纯氮气环境条件，通常每百万摩尔氮气中氧气浓度不高于20摩尔分子，水分不高于50摩尔分子。氮气压力应稍大于室内大气压。</w:t>
      </w:r>
    </w:p>
    <w:p>
      <w:pPr>
        <w:autoSpaceDN w:val="0"/>
        <w:adjustRightInd w:val="0"/>
        <w:snapToGrid w:val="0"/>
        <w:spacing w:line="600" w:lineRule="exact"/>
        <w:ind w:firstLine="561"/>
        <w:rPr>
          <w:rFonts w:hint="eastAsia" w:ascii="仿宋_GB2312" w:hAnsi="Calibri" w:eastAsia="仿宋_GB2312"/>
          <w:sz w:val="32"/>
          <w:szCs w:val="32"/>
        </w:rPr>
      </w:pPr>
      <w:r>
        <w:rPr>
          <w:rFonts w:hint="eastAsia" w:ascii="仿宋_GB2312" w:hAnsi="Calibri" w:eastAsia="仿宋_GB2312"/>
          <w:sz w:val="32"/>
          <w:szCs w:val="32"/>
        </w:rPr>
        <w:t>2.接触大气的月球样品。</w:t>
      </w:r>
    </w:p>
    <w:p>
      <w:pPr>
        <w:autoSpaceDN w:val="0"/>
        <w:adjustRightInd w:val="0"/>
        <w:snapToGrid w:val="0"/>
        <w:spacing w:line="600" w:lineRule="exact"/>
        <w:ind w:firstLine="561"/>
        <w:rPr>
          <w:rFonts w:hint="eastAsia" w:ascii="仿宋_GB2312" w:hAnsi="Calibri" w:eastAsia="仿宋_GB2312"/>
          <w:sz w:val="32"/>
          <w:szCs w:val="32"/>
        </w:rPr>
      </w:pPr>
      <w:r>
        <w:rPr>
          <w:rFonts w:hint="eastAsia" w:ascii="仿宋_GB2312" w:hAnsi="Calibri" w:eastAsia="仿宋_GB2312"/>
          <w:sz w:val="32"/>
          <w:szCs w:val="32"/>
        </w:rPr>
        <w:t>在测试和研究过程中必须且已经暴露大气的样品，原则上不再严格限制其保存条件。回收后可应用于展览、科普等其它用途。这类样品不再专门要求高纯氮气保存环境，但为了样品能够长时间保存或能够重复利用，建议放置在小型氮气柜中进行保存。</w:t>
      </w:r>
    </w:p>
    <w:p>
      <w:pPr>
        <w:autoSpaceDN w:val="0"/>
        <w:adjustRightInd w:val="0"/>
        <w:snapToGrid w:val="0"/>
        <w:spacing w:line="600" w:lineRule="exact"/>
        <w:ind w:firstLine="561"/>
        <w:rPr>
          <w:rFonts w:hint="eastAsia" w:ascii="仿宋_GB2312" w:hAnsi="Calibri" w:eastAsia="仿宋_GB2312"/>
          <w:sz w:val="32"/>
          <w:szCs w:val="32"/>
        </w:rPr>
      </w:pPr>
      <w:r>
        <w:rPr>
          <w:rFonts w:hint="eastAsia" w:ascii="仿宋_GB2312" w:hAnsi="Calibri" w:eastAsia="仿宋_GB2312"/>
          <w:sz w:val="32"/>
          <w:szCs w:val="32"/>
        </w:rPr>
        <w:t>六、借用单位开展相关活动而导致人身伤害或财产损失的，甲方不承担任何责任。</w:t>
      </w:r>
    </w:p>
    <w:p>
      <w:pPr>
        <w:autoSpaceDN w:val="0"/>
        <w:spacing w:line="600" w:lineRule="exact"/>
        <w:ind w:firstLine="560"/>
        <w:rPr>
          <w:rFonts w:hint="eastAsia" w:ascii="仿宋_GB2312" w:hAnsi="Calibri" w:eastAsia="仿宋_GB2312"/>
          <w:sz w:val="32"/>
          <w:szCs w:val="32"/>
        </w:rPr>
      </w:pPr>
      <w:r>
        <w:rPr>
          <w:rFonts w:hint="eastAsia" w:ascii="仿宋_GB2312" w:hAnsi="Calibri" w:eastAsia="仿宋_GB2312"/>
          <w:sz w:val="32"/>
          <w:szCs w:val="32"/>
        </w:rPr>
        <w:t>七、在本借用协议完成后5个工作日内，借用主体应及时向国家天文台提交返还申请表，随附月球样品、借用协议及必要的说明文件等。所借用的样品应全部返还，因开展有损实验而无法完整返还的样品，应将剩余部分返还。国家天文台对返还的月球样品进行检测，形成检测意见后报探月中心。探月中心视情组织专家委员会复核后，做出审核结论。对于符合返还要求的，主存储机构负责做好返还样品的登记入库和存储等相关工作；对于不符合返还要求的，将依据《月球样品借用协议》的相关条款进行处理。</w:t>
      </w:r>
    </w:p>
    <w:p>
      <w:pPr>
        <w:autoSpaceDN w:val="0"/>
        <w:spacing w:line="6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八、样品不能按期返还，以及由于借用单位的过错而导致样品污染、损坏或丢失的，借用单位承担全部责任。视情节严重程度给予以下处理意见：（1）通报借用单位的上级主管部门；（2）暂停借用样品资格三年；（3）永久取消借用资格；（4）情节严重的，追究法律责任。</w:t>
      </w:r>
    </w:p>
    <w:p>
      <w:pPr>
        <w:autoSpaceDN w:val="0"/>
        <w:spacing w:line="6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九、借用单位利用月球样品或月球样品相关科研成果和产品开展商业活动，应征得探月中心书面同意。</w:t>
      </w:r>
    </w:p>
    <w:p>
      <w:pPr>
        <w:autoSpaceDN w:val="0"/>
        <w:adjustRightInd w:val="0"/>
        <w:snapToGrid w:val="0"/>
        <w:spacing w:before="156" w:beforeLines="50" w:line="600" w:lineRule="exact"/>
        <w:rPr>
          <w:rFonts w:hint="eastAsia" w:ascii="仿宋_GB2312" w:hAnsi="Calibri" w:eastAsia="仿宋_GB2312"/>
          <w:b/>
          <w:bCs/>
          <w:sz w:val="32"/>
          <w:szCs w:val="32"/>
        </w:rPr>
      </w:pPr>
      <w:r>
        <w:rPr>
          <w:rFonts w:hint="eastAsia" w:ascii="仿宋_GB2312" w:hAnsi="Calibri" w:eastAsia="仿宋_GB2312"/>
          <w:b/>
          <w:bCs/>
          <w:sz w:val="32"/>
          <w:szCs w:val="32"/>
        </w:rPr>
        <w:t>使用优先权</w:t>
      </w:r>
    </w:p>
    <w:p>
      <w:pPr>
        <w:autoSpaceDN w:val="0"/>
        <w:spacing w:line="6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如果探月中心对于样品的外借计划发生变化，应向借用单位说明情况，以对借用计划进行相应调整。探月中心对月球样品的使用优先于本协议计划的使用。如果出现冲突，探月中心可自行决定是否行使该优先权。</w:t>
      </w:r>
    </w:p>
    <w:p>
      <w:pPr>
        <w:autoSpaceDN w:val="0"/>
        <w:adjustRightInd w:val="0"/>
        <w:snapToGrid w:val="0"/>
        <w:spacing w:before="156" w:beforeLines="50" w:line="600" w:lineRule="exact"/>
        <w:rPr>
          <w:rFonts w:hint="eastAsia" w:ascii="仿宋_GB2312" w:hAnsi="Calibri" w:eastAsia="仿宋_GB2312"/>
          <w:b/>
          <w:bCs/>
          <w:sz w:val="32"/>
          <w:szCs w:val="32"/>
        </w:rPr>
      </w:pPr>
      <w:r>
        <w:rPr>
          <w:rFonts w:hint="eastAsia" w:ascii="仿宋_GB2312" w:hAnsi="Calibri" w:eastAsia="仿宋_GB2312"/>
          <w:b/>
          <w:bCs/>
          <w:sz w:val="32"/>
          <w:szCs w:val="32"/>
        </w:rPr>
        <w:t>协议有效期、终止和更改</w:t>
      </w:r>
    </w:p>
    <w:p>
      <w:pPr>
        <w:autoSpaceDN w:val="0"/>
        <w:spacing w:line="6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本借用协议于签署日期生效，并在各方履行完毕所有义务之前始终有效。如果在样品借用期结束时，借用单位仍然希望继续使用所借月球样品，则必须由探月中心和借用单位签署一份续借协议，否则必须将样品返还给国家天文台。</w:t>
      </w:r>
    </w:p>
    <w:p>
      <w:pPr>
        <w:autoSpaceDN w:val="0"/>
        <w:spacing w:line="6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协议双方可以单方终止本借用协议，研究样品借用终止需提前30天、公益样品借用终止需提前15天通知另一方。</w:t>
      </w:r>
    </w:p>
    <w:p>
      <w:pPr>
        <w:autoSpaceDN w:val="0"/>
        <w:adjustRightInd w:val="0"/>
        <w:snapToGrid w:val="0"/>
        <w:spacing w:before="156" w:beforeLines="50" w:line="600" w:lineRule="exact"/>
        <w:rPr>
          <w:rFonts w:hint="eastAsia" w:ascii="仿宋_GB2312" w:hAnsi="Calibri" w:eastAsia="仿宋_GB2312"/>
          <w:b/>
          <w:bCs/>
          <w:sz w:val="32"/>
          <w:szCs w:val="32"/>
        </w:rPr>
      </w:pPr>
      <w:r>
        <w:rPr>
          <w:rFonts w:hint="eastAsia" w:ascii="仿宋_GB2312" w:hAnsi="Calibri" w:eastAsia="仿宋_GB2312"/>
          <w:b/>
          <w:bCs/>
          <w:sz w:val="32"/>
          <w:szCs w:val="32"/>
        </w:rPr>
        <w:t>纠纷的解决</w:t>
      </w:r>
    </w:p>
    <w:p>
      <w:pPr>
        <w:autoSpaceDN w:val="0"/>
        <w:spacing w:line="600" w:lineRule="exact"/>
        <w:ind w:firstLine="560"/>
        <w:rPr>
          <w:rFonts w:ascii="仿宋_GB2312" w:hAnsi="Calibri" w:eastAsia="仿宋_GB2312"/>
          <w:b/>
          <w:bCs/>
          <w:sz w:val="28"/>
          <w:szCs w:val="28"/>
        </w:rPr>
      </w:pPr>
      <w:r>
        <w:rPr>
          <w:rFonts w:hint="eastAsia" w:ascii="仿宋_GB2312" w:hAnsi="Calibri" w:eastAsia="仿宋_GB2312"/>
          <w:sz w:val="32"/>
          <w:szCs w:val="32"/>
        </w:rPr>
        <w:t>对于因本借用协议而产生的所有纠纷，探月中心与借用单位应协商解决。</w:t>
      </w:r>
      <w:r>
        <w:rPr>
          <w:rFonts w:hint="eastAsia" w:ascii="仿宋_GB2312" w:hAnsi="Calibri" w:eastAsia="仿宋_GB2312"/>
          <w:b/>
          <w:bCs/>
          <w:sz w:val="28"/>
          <w:szCs w:val="28"/>
        </w:rPr>
        <w:t xml:space="preserve">  </w:t>
      </w:r>
    </w:p>
    <w:p>
      <w:pPr>
        <w:autoSpaceDN w:val="0"/>
        <w:spacing w:line="600" w:lineRule="exact"/>
        <w:ind w:firstLine="560"/>
        <w:rPr>
          <w:rFonts w:ascii="仿宋_GB2312" w:hAnsi="Calibri" w:eastAsia="仿宋_GB2312"/>
          <w:b/>
          <w:bCs/>
          <w:sz w:val="28"/>
          <w:szCs w:val="28"/>
        </w:rPr>
      </w:pPr>
    </w:p>
    <w:p>
      <w:pPr>
        <w:autoSpaceDN w:val="0"/>
        <w:spacing w:line="600" w:lineRule="exact"/>
        <w:ind w:firstLine="560"/>
        <w:rPr>
          <w:rFonts w:ascii="仿宋_GB2312" w:hAnsi="Calibri" w:eastAsia="仿宋_GB2312"/>
          <w:b/>
          <w:bCs/>
          <w:sz w:val="28"/>
          <w:szCs w:val="28"/>
        </w:rPr>
      </w:pPr>
    </w:p>
    <w:p>
      <w:pPr>
        <w:autoSpaceDN w:val="0"/>
        <w:spacing w:line="600" w:lineRule="exact"/>
        <w:ind w:firstLine="560"/>
        <w:rPr>
          <w:rFonts w:ascii="仿宋_GB2312" w:hAnsi="Calibri" w:eastAsia="仿宋_GB2312"/>
          <w:b/>
          <w:bCs/>
          <w:sz w:val="28"/>
          <w:szCs w:val="28"/>
        </w:rPr>
      </w:pPr>
    </w:p>
    <w:p>
      <w:pPr>
        <w:autoSpaceDN w:val="0"/>
        <w:spacing w:line="600" w:lineRule="exact"/>
        <w:ind w:firstLine="560"/>
        <w:rPr>
          <w:rFonts w:ascii="仿宋_GB2312" w:hAnsi="Calibri" w:eastAsia="仿宋_GB2312"/>
          <w:b/>
          <w:bCs/>
          <w:sz w:val="28"/>
          <w:szCs w:val="28"/>
        </w:rPr>
      </w:pPr>
    </w:p>
    <w:p>
      <w:pPr>
        <w:autoSpaceDN w:val="0"/>
        <w:spacing w:line="600" w:lineRule="exact"/>
        <w:ind w:firstLine="560"/>
        <w:rPr>
          <w:rFonts w:ascii="仿宋_GB2312" w:hAnsi="Calibri" w:eastAsia="仿宋_GB2312"/>
          <w:b/>
          <w:bCs/>
          <w:sz w:val="28"/>
          <w:szCs w:val="28"/>
        </w:rPr>
      </w:pPr>
    </w:p>
    <w:p>
      <w:pPr>
        <w:autoSpaceDN w:val="0"/>
        <w:spacing w:line="600" w:lineRule="exact"/>
        <w:ind w:firstLine="560"/>
        <w:rPr>
          <w:rFonts w:hint="eastAsia" w:ascii="仿宋_GB2312" w:hAnsi="Calibri" w:eastAsia="仿宋_GB2312"/>
          <w:b/>
          <w:bCs/>
          <w:sz w:val="28"/>
          <w:szCs w:val="28"/>
        </w:rPr>
      </w:pPr>
    </w:p>
    <w:tbl>
      <w:tblPr>
        <w:tblStyle w:val="2"/>
        <w:tblW w:w="8046" w:type="dxa"/>
        <w:tblInd w:w="0" w:type="dxa"/>
        <w:tblLayout w:type="fixed"/>
        <w:tblCellMar>
          <w:top w:w="0" w:type="dxa"/>
          <w:left w:w="108" w:type="dxa"/>
          <w:bottom w:w="0" w:type="dxa"/>
          <w:right w:w="108" w:type="dxa"/>
        </w:tblCellMar>
      </w:tblPr>
      <w:tblGrid>
        <w:gridCol w:w="4261"/>
        <w:gridCol w:w="3785"/>
      </w:tblGrid>
      <w:tr>
        <w:tblPrEx>
          <w:tblCellMar>
            <w:top w:w="0" w:type="dxa"/>
            <w:left w:w="108" w:type="dxa"/>
            <w:bottom w:w="0" w:type="dxa"/>
            <w:right w:w="108" w:type="dxa"/>
          </w:tblCellMar>
        </w:tblPrEx>
        <w:tc>
          <w:tcPr>
            <w:tcW w:w="4261" w:type="dxa"/>
            <w:noWrap w:val="0"/>
            <w:vAlign w:val="top"/>
          </w:tcPr>
          <w:p>
            <w:pPr>
              <w:autoSpaceDN w:val="0"/>
              <w:adjustRightInd w:val="0"/>
              <w:snapToGrid w:val="0"/>
              <w:spacing w:before="156" w:beforeLines="50" w:line="600" w:lineRule="exact"/>
              <w:rPr>
                <w:rFonts w:hint="eastAsia" w:ascii="仿宋_GB2312" w:hAnsi="Calibri" w:eastAsia="仿宋_GB2312"/>
                <w:b/>
                <w:bCs/>
                <w:sz w:val="32"/>
                <w:szCs w:val="32"/>
              </w:rPr>
            </w:pPr>
            <w:r>
              <w:rPr>
                <w:rFonts w:hint="eastAsia" w:ascii="仿宋_GB2312" w:hAnsi="Calibri" w:eastAsia="仿宋_GB2312"/>
                <w:b/>
                <w:bCs/>
                <w:sz w:val="32"/>
                <w:szCs w:val="32"/>
              </w:rPr>
              <w:t>甲方（盖章）：</w:t>
            </w:r>
          </w:p>
          <w:p>
            <w:pPr>
              <w:autoSpaceDN w:val="0"/>
              <w:adjustRightInd w:val="0"/>
              <w:snapToGrid w:val="0"/>
              <w:spacing w:before="156" w:beforeLines="50" w:line="600" w:lineRule="exact"/>
              <w:rPr>
                <w:rFonts w:hint="eastAsia" w:ascii="仿宋_GB2312" w:hAnsi="Calibri" w:eastAsia="仿宋_GB2312"/>
                <w:b/>
                <w:bCs/>
                <w:sz w:val="32"/>
                <w:szCs w:val="32"/>
                <w:u w:val="single"/>
              </w:rPr>
            </w:pPr>
            <w:r>
              <w:rPr>
                <w:rFonts w:hint="eastAsia" w:ascii="仿宋_GB2312" w:hAnsi="Calibri" w:eastAsia="仿宋_GB2312"/>
                <w:b/>
                <w:bCs/>
                <w:sz w:val="32"/>
                <w:szCs w:val="32"/>
                <w:u w:val="single"/>
              </w:rPr>
              <w:t>探月与航天工程中心</w:t>
            </w:r>
          </w:p>
        </w:tc>
        <w:tc>
          <w:tcPr>
            <w:tcW w:w="3785" w:type="dxa"/>
            <w:noWrap w:val="0"/>
            <w:vAlign w:val="top"/>
          </w:tcPr>
          <w:p>
            <w:pPr>
              <w:autoSpaceDN w:val="0"/>
              <w:spacing w:before="156" w:beforeLines="50" w:line="600" w:lineRule="exact"/>
              <w:rPr>
                <w:rFonts w:hint="eastAsia" w:ascii="仿宋_GB2312" w:hAnsi="Calibri" w:eastAsia="仿宋_GB2312"/>
                <w:b/>
                <w:bCs/>
                <w:sz w:val="32"/>
                <w:szCs w:val="32"/>
              </w:rPr>
            </w:pPr>
            <w:r>
              <w:rPr>
                <w:rFonts w:hint="eastAsia" w:ascii="仿宋_GB2312" w:hAnsi="Calibri" w:eastAsia="仿宋_GB2312"/>
                <w:b/>
                <w:bCs/>
                <w:sz w:val="32"/>
                <w:szCs w:val="32"/>
              </w:rPr>
              <w:t>乙方（盖章）：</w:t>
            </w:r>
          </w:p>
          <w:p>
            <w:pPr>
              <w:autoSpaceDN w:val="0"/>
              <w:adjustRightInd w:val="0"/>
              <w:snapToGrid w:val="0"/>
              <w:spacing w:before="156" w:beforeLines="50" w:line="600" w:lineRule="exact"/>
              <w:rPr>
                <w:rFonts w:hint="eastAsia" w:ascii="仿宋_GB2312" w:hAnsi="Calibri" w:eastAsia="仿宋_GB2312"/>
                <w:b/>
                <w:bCs/>
                <w:sz w:val="32"/>
                <w:szCs w:val="32"/>
              </w:rPr>
            </w:pPr>
            <w:r>
              <w:rPr>
                <w:rFonts w:hint="eastAsia" w:ascii="仿宋_GB2312" w:hAnsi="Calibri" w:eastAsia="仿宋_GB2312"/>
                <w:b/>
                <w:bCs/>
                <w:sz w:val="32"/>
                <w:szCs w:val="32"/>
              </w:rPr>
              <w:t>______________________</w:t>
            </w:r>
          </w:p>
        </w:tc>
      </w:tr>
      <w:tr>
        <w:tc>
          <w:tcPr>
            <w:tcW w:w="4261" w:type="dxa"/>
            <w:noWrap w:val="0"/>
            <w:vAlign w:val="top"/>
          </w:tcPr>
          <w:p>
            <w:pPr>
              <w:autoSpaceDN w:val="0"/>
              <w:adjustRightInd w:val="0"/>
              <w:snapToGrid w:val="0"/>
              <w:spacing w:before="156" w:beforeLines="50" w:line="600" w:lineRule="exact"/>
              <w:rPr>
                <w:rFonts w:hint="eastAsia" w:ascii="仿宋_GB2312" w:hAnsi="Calibri" w:eastAsia="仿宋_GB2312"/>
                <w:b/>
                <w:bCs/>
                <w:sz w:val="32"/>
                <w:szCs w:val="32"/>
              </w:rPr>
            </w:pPr>
            <w:r>
              <w:rPr>
                <w:rFonts w:hint="eastAsia" w:ascii="仿宋_GB2312" w:hAnsi="Calibri" w:eastAsia="仿宋_GB2312"/>
                <w:b/>
                <w:bCs/>
                <w:sz w:val="32"/>
                <w:szCs w:val="32"/>
              </w:rPr>
              <w:t>法定代表人：签字</w:t>
            </w:r>
          </w:p>
        </w:tc>
        <w:tc>
          <w:tcPr>
            <w:tcW w:w="3785" w:type="dxa"/>
            <w:noWrap w:val="0"/>
            <w:vAlign w:val="top"/>
          </w:tcPr>
          <w:p>
            <w:pPr>
              <w:autoSpaceDN w:val="0"/>
              <w:adjustRightInd w:val="0"/>
              <w:snapToGrid w:val="0"/>
              <w:spacing w:before="156" w:beforeLines="50" w:line="600" w:lineRule="exact"/>
              <w:rPr>
                <w:rFonts w:hint="eastAsia" w:ascii="仿宋_GB2312" w:hAnsi="Calibri" w:eastAsia="仿宋_GB2312"/>
                <w:b/>
                <w:bCs/>
                <w:sz w:val="32"/>
                <w:szCs w:val="32"/>
              </w:rPr>
            </w:pPr>
            <w:r>
              <w:rPr>
                <w:rFonts w:hint="eastAsia" w:ascii="仿宋_GB2312" w:hAnsi="Calibri" w:eastAsia="仿宋_GB2312"/>
                <w:b/>
                <w:bCs/>
                <w:sz w:val="32"/>
                <w:szCs w:val="32"/>
              </w:rPr>
              <w:t>法定代表人：签字</w:t>
            </w:r>
          </w:p>
        </w:tc>
      </w:tr>
      <w:tr>
        <w:tblPrEx>
          <w:tblCellMar>
            <w:top w:w="0" w:type="dxa"/>
            <w:left w:w="108" w:type="dxa"/>
            <w:bottom w:w="0" w:type="dxa"/>
            <w:right w:w="108" w:type="dxa"/>
          </w:tblCellMar>
        </w:tblPrEx>
        <w:tc>
          <w:tcPr>
            <w:tcW w:w="4261" w:type="dxa"/>
            <w:noWrap w:val="0"/>
            <w:vAlign w:val="top"/>
          </w:tcPr>
          <w:p>
            <w:pPr>
              <w:autoSpaceDN w:val="0"/>
              <w:adjustRightInd w:val="0"/>
              <w:snapToGrid w:val="0"/>
              <w:spacing w:before="156" w:beforeLines="50" w:line="600" w:lineRule="exact"/>
              <w:rPr>
                <w:rFonts w:hint="eastAsia" w:ascii="仿宋_GB2312" w:hAnsi="Calibri" w:eastAsia="仿宋_GB2312"/>
                <w:b/>
                <w:bCs/>
                <w:sz w:val="32"/>
                <w:szCs w:val="32"/>
              </w:rPr>
            </w:pPr>
            <w:r>
              <w:rPr>
                <w:rFonts w:hint="eastAsia" w:ascii="仿宋_GB2312" w:hAnsi="Calibri" w:eastAsia="仿宋_GB2312"/>
                <w:b/>
                <w:bCs/>
                <w:sz w:val="32"/>
                <w:szCs w:val="32"/>
              </w:rPr>
              <w:t>日期：</w:t>
            </w:r>
          </w:p>
        </w:tc>
        <w:tc>
          <w:tcPr>
            <w:tcW w:w="3785" w:type="dxa"/>
            <w:noWrap w:val="0"/>
            <w:vAlign w:val="top"/>
          </w:tcPr>
          <w:p>
            <w:pPr>
              <w:autoSpaceDN w:val="0"/>
              <w:adjustRightInd w:val="0"/>
              <w:snapToGrid w:val="0"/>
              <w:spacing w:before="156" w:beforeLines="50" w:line="600" w:lineRule="exact"/>
              <w:rPr>
                <w:rFonts w:hint="eastAsia" w:ascii="仿宋_GB2312" w:hAnsi="Calibri" w:eastAsia="仿宋_GB2312"/>
                <w:b/>
                <w:bCs/>
                <w:sz w:val="32"/>
                <w:szCs w:val="32"/>
              </w:rPr>
            </w:pPr>
            <w:r>
              <w:rPr>
                <w:rFonts w:hint="eastAsia" w:ascii="仿宋_GB2312" w:hAnsi="Calibri" w:eastAsia="仿宋_GB2312"/>
                <w:b/>
                <w:bCs/>
                <w:sz w:val="32"/>
                <w:szCs w:val="32"/>
              </w:rPr>
              <w:t>日期：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46652"/>
    <w:rsid w:val="1BE46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2021-01-15T06:32:00Z</dcterms:created>
  <dc:creator>紫琬</dc:creator>
  <cp:lastModifiedBy>紫琬</cp:lastModifiedBy>
  <dcterms:modified xsi:type="dcterms:W3CDTF">2021-01-15T06:33:00Z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