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ind w:firstLine="0" w:firstLineChars="0"/>
        <w:jc w:val="left"/>
        <w:rPr>
          <w:rFonts w:hint="eastAsia"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>附件</w:t>
      </w:r>
    </w:p>
    <w:p>
      <w:pPr>
        <w:adjustRightInd w:val="0"/>
        <w:spacing w:line="600" w:lineRule="exact"/>
        <w:ind w:firstLine="0" w:firstLineChars="0"/>
        <w:jc w:val="center"/>
        <w:rPr>
          <w:rFonts w:ascii="方正小标宋简体" w:hAnsi="黑体" w:eastAsia="方正小标宋简体" w:cs="黑体"/>
          <w:sz w:val="44"/>
          <w:szCs w:val="22"/>
        </w:rPr>
      </w:pPr>
    </w:p>
    <w:p>
      <w:pPr>
        <w:adjustRightInd w:val="0"/>
        <w:spacing w:line="600" w:lineRule="exact"/>
        <w:ind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22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22"/>
        </w:rPr>
        <w:t>国有重点企业管理</w:t>
      </w:r>
      <w:r>
        <w:rPr>
          <w:rFonts w:hint="eastAsia" w:ascii="宋体" w:hAnsi="宋体" w:eastAsia="宋体" w:cs="宋体"/>
          <w:b/>
          <w:bCs/>
          <w:sz w:val="44"/>
          <w:szCs w:val="22"/>
          <w:lang w:eastAsia="zh-CN"/>
        </w:rPr>
        <w:t>标杆创建行动</w:t>
      </w:r>
    </w:p>
    <w:p>
      <w:pPr>
        <w:adjustRightInd w:val="0"/>
        <w:spacing w:line="600" w:lineRule="exact"/>
        <w:ind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22"/>
        </w:rPr>
      </w:pPr>
      <w:r>
        <w:rPr>
          <w:rFonts w:hint="eastAsia" w:ascii="宋体" w:hAnsi="宋体" w:eastAsia="宋体" w:cs="宋体"/>
          <w:b/>
          <w:bCs/>
          <w:sz w:val="44"/>
          <w:szCs w:val="22"/>
        </w:rPr>
        <w:t>标杆企业、标杆项目、标杆模式名单</w:t>
      </w:r>
    </w:p>
    <w:p>
      <w:pPr>
        <w:adjustRightInd w:val="0"/>
        <w:spacing w:line="600" w:lineRule="exact"/>
        <w:ind w:firstLine="0" w:firstLineChars="0"/>
        <w:jc w:val="center"/>
        <w:rPr>
          <w:rFonts w:ascii="方正小标宋简体" w:hAnsi="黑体" w:eastAsia="方正小标宋简体" w:cs="黑体"/>
          <w:sz w:val="44"/>
          <w:szCs w:val="22"/>
        </w:rPr>
      </w:pPr>
    </w:p>
    <w:p>
      <w:pPr>
        <w:spacing w:line="600" w:lineRule="exact"/>
        <w:ind w:firstLine="0" w:firstLineChars="0"/>
        <w:outlineLvl w:val="1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</w:t>
      </w:r>
      <w:r>
        <w:rPr>
          <w:rFonts w:ascii="黑体" w:hAnsi="黑体" w:eastAsia="黑体"/>
        </w:rPr>
        <w:t>、标杆企业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中国核工业集团有限公司</w:t>
      </w:r>
    </w:p>
    <w:p>
      <w:pPr>
        <w:spacing w:line="600" w:lineRule="exact"/>
        <w:ind w:firstLine="1280" w:firstLineChars="400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1.中国核能电力股份有限公司</w:t>
      </w:r>
    </w:p>
    <w:p>
      <w:pPr>
        <w:spacing w:line="600" w:lineRule="exact"/>
        <w:ind w:firstLine="1280" w:firstLineChars="400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2.</w:t>
      </w:r>
      <w:r>
        <w:rPr>
          <w:rFonts w:hint="eastAsia" w:ascii="仿宋_GB2312" w:hAnsi="仿宋" w:cs="宋体"/>
          <w:color w:val="000000"/>
          <w:kern w:val="0"/>
          <w:szCs w:val="28"/>
        </w:rPr>
        <w:t>中国原子能工业有限公司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中国航天科技集团有限公司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3.中国运载火箭技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术研究院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ascii="仿宋_GB2312" w:hAnsi="仿宋" w:cs="宋体"/>
          <w:color w:val="000000"/>
          <w:kern w:val="0"/>
          <w:szCs w:val="28"/>
          <w:highlight w:val="none"/>
        </w:rPr>
        <w:t>4.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中国空间技术研究院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5.中国四维测绘技术有限公司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中国航天科工集团有限公司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ascii="仿宋_GB2312" w:hAnsi="仿宋" w:cs="宋体"/>
          <w:color w:val="000000"/>
          <w:kern w:val="0"/>
          <w:szCs w:val="28"/>
          <w:highlight w:val="none"/>
        </w:rPr>
        <w:t>6.航天科工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第二研究院二十三所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7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航天科工第三总体设计部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8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西安航天自动化股份有限公司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中国航空工业集团有限公司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9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成都飞机工业（集团）有限责任公司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0.航空工业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西安飞行自动控制研究所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中国船舶集团有限公司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1.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江南造船（集团）有限责任公司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2.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风帆有限责任公司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中国兵器工业集团有限公司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3.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内蒙古第一机械集团有限公司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中国兵器装备集团有限公司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4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成都光明光电股份有限公司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5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重庆长安汽车股份有限公司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中国电子科技集团有限公司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6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中电海康集团有限公司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7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中电太极（集团）有限公司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中国航空发动机集团有限公司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8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中国航发沈阳发动机研究所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19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中国航发哈尔滨东安发动机有限公司</w:t>
      </w:r>
    </w:p>
    <w:p>
      <w:pPr>
        <w:spacing w:line="600" w:lineRule="exact"/>
        <w:rPr>
          <w:rFonts w:hint="eastAsia"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中国融通资产管理集团有限公司</w:t>
      </w:r>
    </w:p>
    <w:p>
      <w:pPr>
        <w:spacing w:line="600" w:lineRule="exact"/>
        <w:ind w:firstLine="1273" w:firstLineChars="398"/>
        <w:rPr>
          <w:rFonts w:hint="eastAsia"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2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0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.中国融通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eastAsia="zh-CN"/>
        </w:rPr>
        <w:t>农发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集团有限公司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中国石油天然气集团有限公司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2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中国石油长庆油田分公司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2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2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中国石油独山子石化分公司</w:t>
      </w:r>
    </w:p>
    <w:p>
      <w:pPr>
        <w:keepNext w:val="0"/>
        <w:keepLines w:val="0"/>
        <w:widowControl/>
        <w:suppressLineNumbers w:val="0"/>
        <w:ind w:firstLine="1280" w:firstLineChars="400"/>
        <w:jc w:val="left"/>
        <w:rPr>
          <w:rFonts w:hint="eastAsia"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2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3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28"/>
          <w:highlight w:val="none"/>
          <w:lang w:val="en-US" w:eastAsia="zh-CN" w:bidi="ar"/>
        </w:rPr>
        <w:t>中国石油东方地球物理勘探有限责任公司</w:t>
      </w:r>
    </w:p>
    <w:p>
      <w:pPr>
        <w:spacing w:line="600" w:lineRule="exact"/>
        <w:ind w:firstLine="640" w:firstLineChars="200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中国石油化工集团有限公司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2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4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.中国石化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镇海炼化分公司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2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5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.中国石化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西北油田分公司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2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6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.中国石化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浙江石油分公司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中国海洋石油集团有限公司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2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7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中海油田服务股份有限公司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2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8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.中海石油气电集团有限责任公司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国家石油天然气管网集团有限公司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29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.国家管网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西部管道有限责任公司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国家电网有限公司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ascii="仿宋_GB2312" w:hAnsi="仿宋" w:cs="宋体"/>
          <w:color w:val="000000"/>
          <w:kern w:val="0"/>
          <w:szCs w:val="28"/>
          <w:highlight w:val="none"/>
        </w:rPr>
        <w:t>3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0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国家电网江苏省电力有限公司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3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国家电网天津市电力公司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中国南方电网有限责任公司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3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2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深圳供电局有限公司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3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3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.南方电网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超高压输电公司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3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4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广东电网有限责任公司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中国华能集团有限公司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3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5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中国华能江苏能源开发有限公司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中国大唐集团有限公司</w:t>
      </w:r>
    </w:p>
    <w:p>
      <w:pPr>
        <w:spacing w:line="600" w:lineRule="exact"/>
        <w:ind w:firstLine="1273" w:firstLineChars="398"/>
        <w:rPr>
          <w:rFonts w:hint="eastAsia"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3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6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内蒙古赤峰塞罕坝公司</w:t>
      </w:r>
    </w:p>
    <w:p>
      <w:pPr>
        <w:keepNext w:val="0"/>
        <w:keepLines w:val="0"/>
        <w:widowControl/>
        <w:suppressLineNumbers w:val="0"/>
        <w:ind w:firstLine="1280" w:firstLineChars="400"/>
        <w:jc w:val="left"/>
        <w:rPr>
          <w:rFonts w:hint="eastAsia"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37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28"/>
          <w:highlight w:val="none"/>
          <w:lang w:val="en-US" w:eastAsia="zh-CN" w:bidi="ar"/>
        </w:rPr>
        <w:t>大唐国际发电股份有限公司</w:t>
      </w:r>
    </w:p>
    <w:p>
      <w:pPr>
        <w:spacing w:line="600" w:lineRule="exact"/>
        <w:ind w:firstLine="640" w:firstLineChars="200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楷体_GB2312" w:eastAsia="楷体_GB2312"/>
          <w:highlight w:val="none"/>
        </w:rPr>
        <w:t>中国华电集团有限公司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3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8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贵州乌江水电开发有限责任公司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国家电力投资集团有限公司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39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黄河上游水电开发有限责任公司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ascii="仿宋_GB2312" w:hAnsi="仿宋" w:cs="宋体"/>
          <w:color w:val="000000"/>
          <w:kern w:val="0"/>
          <w:szCs w:val="28"/>
          <w:highlight w:val="none"/>
        </w:rPr>
        <w:t>4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0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国家电投江苏电力有限公司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中国长江三峡集团有限公司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4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中国长江电力股份有限公司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ascii="仿宋_GB2312" w:hAnsi="仿宋" w:cs="宋体"/>
          <w:color w:val="000000"/>
          <w:kern w:val="0"/>
          <w:szCs w:val="28"/>
          <w:highlight w:val="none"/>
        </w:rPr>
        <w:t>4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2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中国三峡新能源（集团）股份有限公司</w:t>
      </w:r>
    </w:p>
    <w:p>
      <w:pPr>
        <w:spacing w:line="600" w:lineRule="exact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楷体_GB2312" w:eastAsia="楷体_GB2312"/>
          <w:highlight w:val="none"/>
        </w:rPr>
        <w:t>国家能源投资集团有限责任公司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4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3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国能神东煤炭集团有限责任公司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4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4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国能准能集团有限责任公司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4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5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龙源电力集团股份有限公司</w:t>
      </w:r>
    </w:p>
    <w:p>
      <w:pPr>
        <w:spacing w:line="600" w:lineRule="exact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楷体_GB2312" w:eastAsia="楷体_GB2312"/>
          <w:highlight w:val="none"/>
        </w:rPr>
        <w:t>中国电信集团有限公司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4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6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中国电信安徽分公司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4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7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中国电信成都分公司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中国联合网络通信集团有限公司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4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8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中国联通北京市分公司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49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中讯邮电咨询设计院有限公司</w:t>
      </w:r>
    </w:p>
    <w:p>
      <w:pPr>
        <w:spacing w:line="600" w:lineRule="exact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楷体_GB2312" w:eastAsia="楷体_GB2312"/>
          <w:highlight w:val="none"/>
        </w:rPr>
        <w:t>中国移动通信集团有限公司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ascii="仿宋_GB2312" w:hAnsi="仿宋" w:cs="宋体"/>
          <w:color w:val="000000"/>
          <w:kern w:val="0"/>
          <w:szCs w:val="28"/>
          <w:highlight w:val="none"/>
        </w:rPr>
        <w:t>5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0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中国移动广东有限公司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5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中国移动设计院有限公司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中国电子信息产业集团有限公司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5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2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中国系统技术有限公司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5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3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麒麟软件有限公司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东风汽车集团有限公司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5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4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东风日产乘用车公司</w:t>
      </w:r>
    </w:p>
    <w:p>
      <w:pPr>
        <w:spacing w:line="600" w:lineRule="exact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楷体_GB2312" w:eastAsia="楷体_GB2312"/>
          <w:highlight w:val="none"/>
        </w:rPr>
        <w:t>中国一重集团有限公司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5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5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中国第一重型机械股份公司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中国机械工业集团有限公司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5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6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苏美达股份有限公司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5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7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中国联合工程有限公司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哈尔滨电气集团有限公司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ascii="仿宋_GB2312" w:hAnsi="仿宋" w:cs="宋体"/>
          <w:color w:val="000000"/>
          <w:kern w:val="0"/>
          <w:szCs w:val="28"/>
          <w:highlight w:val="none"/>
        </w:rPr>
        <w:t>5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8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哈尔滨锅炉厂有限责任公司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鞍钢集团有限公司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59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鞍钢集团朝阳钢铁有限公司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ascii="仿宋_GB2312" w:hAnsi="仿宋" w:cs="宋体"/>
          <w:color w:val="000000"/>
          <w:kern w:val="0"/>
          <w:szCs w:val="28"/>
          <w:highlight w:val="none"/>
        </w:rPr>
        <w:t>6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0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西昌钒制品分公司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中国宝武钢铁集团有限公司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6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宝山钢铁股份有限公司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6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2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马钢（集团）控股有限公司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中国铝业集团有限公司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6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3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中国铝业股份有限公司</w:t>
      </w:r>
    </w:p>
    <w:p>
      <w:pPr>
        <w:spacing w:line="600" w:lineRule="exact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楷体_GB2312" w:eastAsia="楷体_GB2312"/>
          <w:highlight w:val="none"/>
        </w:rPr>
        <w:t>中国远洋海运集团有限公司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6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4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中远海运集装箱运输有限公司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6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5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中远海运能源运输股份有限公司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中国航空集团有限公司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6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6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中国国际航空股份有限公司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6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7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中国国际货运航空有限公司</w:t>
      </w:r>
    </w:p>
    <w:p>
      <w:pPr>
        <w:spacing w:line="600" w:lineRule="exact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楷体_GB2312" w:eastAsia="楷体_GB2312"/>
          <w:highlight w:val="none"/>
        </w:rPr>
        <w:t>中国东方航空集团有限公司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6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8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中国联合航空有限公司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中国南方航空集团有限公司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69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珠海保税区摩天宇航空发动机维修有限公司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中国中化控股有限责任公司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ascii="仿宋_GB2312" w:hAnsi="仿宋" w:cs="宋体"/>
          <w:color w:val="000000"/>
          <w:kern w:val="0"/>
          <w:szCs w:val="28"/>
          <w:highlight w:val="none"/>
        </w:rPr>
        <w:t>7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0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江苏优嘉植物保护有限公司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7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南通星辰合成材料有限公司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中粮集团有限公司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7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2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中粮东海粮油工业（张家港）有限公司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7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3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中粮麦芽（江阴）有限公司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中国五矿集团有限公司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7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4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深圳市金洲精工科技股份有限公司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7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5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五矿资源邦巴斯矿业公司</w:t>
      </w:r>
    </w:p>
    <w:p>
      <w:pPr>
        <w:spacing w:line="600" w:lineRule="exact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楷体_GB2312" w:eastAsia="楷体_GB2312"/>
          <w:highlight w:val="none"/>
        </w:rPr>
        <w:t>中国通用技术（集团）控股有限责任公司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7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6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航天中心医院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中国建筑集团有限公司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7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7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中建八局第一建设有限公司</w:t>
      </w:r>
    </w:p>
    <w:p>
      <w:pPr>
        <w:spacing w:line="600" w:lineRule="exact"/>
        <w:ind w:firstLine="1273" w:firstLineChars="398"/>
        <w:rPr>
          <w:rFonts w:hint="eastAsia"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78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中建科工集团有限公司</w:t>
      </w:r>
    </w:p>
    <w:p>
      <w:pPr>
        <w:spacing w:line="600" w:lineRule="exact"/>
        <w:ind w:firstLine="1273" w:firstLineChars="398"/>
        <w:rPr>
          <w:rFonts w:hint="eastAsia"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79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中国建筑第三工程局有限公司</w:t>
      </w:r>
    </w:p>
    <w:p>
      <w:pPr>
        <w:spacing w:line="600" w:lineRule="exact"/>
        <w:rPr>
          <w:rFonts w:hint="eastAsia"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中国储备粮管理集团有限公司</w:t>
      </w:r>
    </w:p>
    <w:p>
      <w:pPr>
        <w:spacing w:line="600" w:lineRule="exact"/>
        <w:ind w:firstLine="1273" w:firstLineChars="398"/>
        <w:rPr>
          <w:rFonts w:hint="eastAsia" w:ascii="楷体_GB2312" w:eastAsia="楷体_GB2312"/>
          <w:highlight w:val="none"/>
        </w:rPr>
      </w:pPr>
      <w:r>
        <w:rPr>
          <w:rFonts w:ascii="仿宋_GB2312" w:hAnsi="仿宋" w:cs="宋体"/>
          <w:color w:val="000000"/>
          <w:kern w:val="0"/>
          <w:szCs w:val="28"/>
          <w:highlight w:val="none"/>
        </w:rPr>
        <w:t>8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0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中国储备粮管理集团有限公司江苏分公司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国家开发投资集团有限公司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8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雅砻江流域水电开发有限公司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8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2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国投新疆罗布泊钾盐有限责任公司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8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3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国投资本股份有限公司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招商局集团有限公司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8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4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招商局能源运输股份有限公司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8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5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斯里兰卡科伦坡国际集装箱码头有限公司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华润（集团）有限公司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8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6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华润电力控股有限公司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8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7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华润燃气（集团）有限公司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8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8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华润三九医药股份有限公司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中国商用飞机有限责任公司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89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中国商飞上海飞机设计研究院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中国节能环保集团有限公司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9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0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中节能万润股份有限公司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中国国际工程咨询有限公司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9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中咨海外咨询有限公司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中国诚通控股集团有限公司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9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2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广东冠豪高新技术股份有限公司</w:t>
      </w:r>
    </w:p>
    <w:p>
      <w:pPr>
        <w:spacing w:line="600" w:lineRule="exact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楷体_GB2312" w:eastAsia="楷体_GB2312"/>
          <w:highlight w:val="none"/>
        </w:rPr>
        <w:t>中国中煤能源集团有限公司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9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3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中煤平朔集团有限公司</w:t>
      </w:r>
    </w:p>
    <w:p>
      <w:pPr>
        <w:spacing w:line="600" w:lineRule="exact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楷体_GB2312" w:eastAsia="楷体_GB2312"/>
          <w:highlight w:val="none"/>
        </w:rPr>
        <w:t>中国煤炭科工集团有限公司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9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4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北京天地玛珂电液控制系统有限公司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中国中钢集团有限公司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9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5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中钢洛耐科技股份有限公司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中国化学工程集团有限公司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9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6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中国天辰工程有限公司</w:t>
      </w:r>
    </w:p>
    <w:p>
      <w:pPr>
        <w:spacing w:line="600" w:lineRule="exact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楷体_GB2312" w:eastAsia="楷体_GB2312"/>
          <w:highlight w:val="none"/>
        </w:rPr>
        <w:t>中国盐业集团有限公司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97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中盐内蒙古化工股份有限公司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中国建材集团有限公司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98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北新集团建材股份有限公司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99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巨石集团有限公司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中国有色矿业集团有限公司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0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0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谦比希铜冶炼有限公司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矿冶科技集团有限公司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0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北京当升材料科技股份有限公司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中国国际技术智力合作集团有限公司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0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2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中智关爱通（上海）科技股份有限公司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中国建筑科学研究院有限公司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0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3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建科环能科技有限公司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中国中车集团有限公司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0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4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中车长春轨道客车股份有限公司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0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5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中车青岛四方机车车辆股份有限公司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0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6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中车齐车集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eastAsia="zh-CN"/>
        </w:rPr>
        <w:t>团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齐齐哈尔车辆有限公司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中国铁路通信信号集团有限公司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07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卡斯柯信号有限公司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08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通号（北京）轨道工业集团有限公司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中国铁路工程集团有限公司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09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中铁四局集团有限公司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0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中铁上海工程局集团有限公司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中铁大桥局集团有限公司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中国铁道建筑集团有限公司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2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中铁十一局集团有限公司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3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中国铁建电气化局集团有限公司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4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中铁第四勘察设计院集团有限公司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中国交通建设集团有限公司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5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中交投资有限公司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116.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中交第一航务工程局有限公司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auto"/>
          <w:kern w:val="0"/>
          <w:szCs w:val="28"/>
          <w:highlight w:val="none"/>
        </w:rPr>
        <w:t>1</w:t>
      </w:r>
      <w:r>
        <w:rPr>
          <w:rFonts w:hint="eastAsia" w:ascii="仿宋_GB2312" w:hAnsi="仿宋" w:cs="宋体"/>
          <w:color w:val="auto"/>
          <w:kern w:val="0"/>
          <w:szCs w:val="28"/>
          <w:highlight w:val="none"/>
          <w:lang w:val="en-US" w:eastAsia="zh-CN"/>
        </w:rPr>
        <w:t>17</w:t>
      </w:r>
      <w:r>
        <w:rPr>
          <w:rFonts w:ascii="仿宋_GB2312" w:hAnsi="仿宋" w:cs="宋体"/>
          <w:color w:val="auto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auto"/>
          <w:kern w:val="0"/>
          <w:szCs w:val="28"/>
          <w:highlight w:val="none"/>
        </w:rPr>
        <w:t>中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交第四公路工程局有限公司</w:t>
      </w:r>
    </w:p>
    <w:p>
      <w:pPr>
        <w:spacing w:line="600" w:lineRule="exact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楷体_GB2312" w:eastAsia="楷体_GB2312"/>
          <w:highlight w:val="none"/>
        </w:rPr>
        <w:t>中国农业发展集团有限公司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18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山东胜利生物工程有限公司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中国林业集团有限公司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19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上海胜握胜林业有限公司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中国医药集团有限公司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2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0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.中国生物技术股份有限公司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2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中国国际医药卫生有限公司</w:t>
      </w:r>
    </w:p>
    <w:p>
      <w:pPr>
        <w:spacing w:line="600" w:lineRule="exact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楷体_GB2312" w:eastAsia="楷体_GB2312"/>
          <w:highlight w:val="none"/>
        </w:rPr>
        <w:t>中国保利集团有限公司</w:t>
      </w:r>
    </w:p>
    <w:p>
      <w:pPr>
        <w:spacing w:line="600" w:lineRule="exact"/>
        <w:ind w:firstLine="1273" w:firstLineChars="398"/>
        <w:rPr>
          <w:rFonts w:hint="eastAsia"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2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2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保利发展控股集团股份有限公司</w:t>
      </w:r>
    </w:p>
    <w:p>
      <w:pPr>
        <w:spacing w:line="600" w:lineRule="exact"/>
        <w:ind w:firstLine="1273" w:firstLineChars="398"/>
        <w:rPr>
          <w:rFonts w:hint="eastAsia" w:ascii="仿宋_GB2312" w:hAnsi="仿宋" w:eastAsia="仿宋_GB2312" w:cs="宋体"/>
          <w:color w:val="000000"/>
          <w:kern w:val="0"/>
          <w:szCs w:val="28"/>
          <w:highlight w:val="none"/>
          <w:lang w:val="en-US" w:eastAsia="zh-CN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123.保利国际控股有限公司</w:t>
      </w:r>
    </w:p>
    <w:p>
      <w:pPr>
        <w:spacing w:line="600" w:lineRule="exact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楷体_GB2312" w:eastAsia="楷体_GB2312"/>
          <w:highlight w:val="none"/>
        </w:rPr>
        <w:t>中国煤炭地质总局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2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4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中煤航测遥感集团有限公司</w:t>
      </w:r>
    </w:p>
    <w:p>
      <w:pPr>
        <w:spacing w:line="600" w:lineRule="exact"/>
        <w:rPr>
          <w:rFonts w:hint="eastAsia"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新兴际华集团有限公司</w:t>
      </w:r>
    </w:p>
    <w:p>
      <w:pPr>
        <w:spacing w:line="600" w:lineRule="exact"/>
        <w:ind w:firstLine="1273" w:firstLineChars="398"/>
        <w:rPr>
          <w:rFonts w:hint="eastAsia" w:ascii="楷体_GB2312" w:eastAsia="仿宋_GB2312"/>
          <w:highlight w:val="none"/>
          <w:lang w:eastAsia="zh-CN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2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5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eastAsia="zh-CN"/>
        </w:rPr>
        <w:t>南京际华三五二一特种装备有限公司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中国航空油料集团有限公司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2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6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中国航油华东公司</w:t>
      </w:r>
    </w:p>
    <w:p>
      <w:pPr>
        <w:spacing w:line="600" w:lineRule="exact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楷体_GB2312" w:eastAsia="楷体_GB2312"/>
          <w:highlight w:val="none"/>
        </w:rPr>
        <w:t>中国航空器材集团有限公司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2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7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中国民航技术装备有限责任公司</w:t>
      </w:r>
    </w:p>
    <w:p>
      <w:pPr>
        <w:spacing w:line="600" w:lineRule="exact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楷体_GB2312" w:eastAsia="楷体_GB2312"/>
          <w:highlight w:val="none"/>
        </w:rPr>
        <w:t>中国电力建设集团有限公司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28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中国水利水电第十一工程局有限公司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29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中国电建集团海外投资有限公司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中国能源建设集团有限公司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3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0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中国葛洲坝集团股份有限公司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3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中国能建规划设计有限公司</w:t>
      </w:r>
    </w:p>
    <w:p>
      <w:pPr>
        <w:spacing w:line="600" w:lineRule="exact"/>
        <w:rPr>
          <w:rFonts w:hint="eastAsia"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中国安能建设集团有限公司</w:t>
      </w:r>
    </w:p>
    <w:p>
      <w:pPr>
        <w:spacing w:line="600" w:lineRule="exact"/>
        <w:ind w:firstLine="1273" w:firstLineChars="398"/>
        <w:rPr>
          <w:rFonts w:hint="eastAsia" w:ascii="仿宋_GB2312" w:hAnsi="仿宋_GB2312" w:cs="宋体"/>
          <w:color w:val="000000"/>
          <w:w w:val="95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132.</w:t>
      </w:r>
      <w:r>
        <w:rPr>
          <w:rFonts w:hint="eastAsia" w:ascii="仿宋_GB2312" w:hAnsi="仿宋_GB2312" w:cs="宋体"/>
          <w:color w:val="000000"/>
          <w:w w:val="95"/>
          <w:kern w:val="0"/>
          <w:szCs w:val="28"/>
          <w:highlight w:val="none"/>
        </w:rPr>
        <w:t>中国安能集团第二工程局有限公司</w:t>
      </w:r>
      <w:r>
        <w:rPr>
          <w:rFonts w:hint="eastAsia" w:ascii="仿宋_GB2312" w:hAnsi="仿宋_GB2312" w:cs="宋体"/>
          <w:color w:val="000000"/>
          <w:w w:val="95"/>
          <w:kern w:val="0"/>
          <w:szCs w:val="28"/>
          <w:highlight w:val="none"/>
          <w:lang w:eastAsia="zh-CN"/>
        </w:rPr>
        <w:t>南昌分公司</w:t>
      </w:r>
    </w:p>
    <w:p>
      <w:pPr>
        <w:spacing w:line="600" w:lineRule="exact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楷体_GB2312" w:eastAsia="楷体_GB2312"/>
          <w:highlight w:val="none"/>
        </w:rPr>
        <w:t>中国黄金集团有限公司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3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3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中国黄金集团黄金珠宝股份有限公司</w:t>
      </w:r>
    </w:p>
    <w:p>
      <w:pPr>
        <w:spacing w:line="600" w:lineRule="exact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楷体_GB2312" w:eastAsia="楷体_GB2312"/>
          <w:highlight w:val="none"/>
        </w:rPr>
        <w:t>中国广核集团有限公司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3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4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中广核核电运营有限公司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3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5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大亚湾核电运营管理有限责任公司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中国华录集团有限公司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3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6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北京易华录信息技术股份有限公司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华侨城集团有限公司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3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7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华侨城华南投资有限公司</w:t>
      </w:r>
    </w:p>
    <w:p>
      <w:pPr>
        <w:spacing w:line="600" w:lineRule="exact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楷体_GB2312" w:eastAsia="楷体_GB2312"/>
          <w:highlight w:val="none"/>
        </w:rPr>
        <w:t>中国西电集团有限公司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3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8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西安高压电器研究院有限责任公司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中国铁路物资集团有限公司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39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中铁油料集团有限公司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中国国新控股有限责任公司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4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0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中国国新基金管理有限公司</w:t>
      </w:r>
    </w:p>
    <w:p>
      <w:pPr>
        <w:spacing w:line="600" w:lineRule="exact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楷体_GB2312" w:eastAsia="楷体_GB2312"/>
          <w:highlight w:val="none"/>
        </w:rPr>
        <w:t>中国检验认证（集团）有限公司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4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中国检验认证集团辽宁有限公司</w:t>
      </w:r>
    </w:p>
    <w:p>
      <w:pPr>
        <w:spacing w:line="600" w:lineRule="exact"/>
        <w:rPr>
          <w:rFonts w:hint="eastAsia"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中国绿发投资集团有限公司</w:t>
      </w:r>
    </w:p>
    <w:p>
      <w:pPr>
        <w:spacing w:line="600" w:lineRule="exact"/>
        <w:ind w:firstLine="1273" w:firstLineChars="398"/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142.江苏广恒新能源有限公司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中国铁塔股份有限公司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4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3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中国铁塔安徽省分公司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北京市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14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4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.首钢集团有限公司矿业公司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ascii="仿宋_GB2312" w:hAnsi="仿宋" w:cs="宋体"/>
          <w:color w:val="000000"/>
          <w:kern w:val="0"/>
          <w:szCs w:val="28"/>
          <w:highlight w:val="none"/>
        </w:rPr>
        <w:t>14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5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北京京西燃气热电公司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4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6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京东方科技集团股份有限公司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天津市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14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7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.天津创业环保集团股份有限公司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ascii="楷体_GB2312" w:eastAsia="楷体_GB2312"/>
          <w:highlight w:val="none"/>
        </w:rPr>
        <w:t>河北省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4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8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唐山三友集团有限公司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ascii="楷体_GB2312" w:eastAsia="楷体_GB2312"/>
          <w:highlight w:val="none"/>
        </w:rPr>
        <w:t>山西省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4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9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晋能控股装备制造集团有限公司寺河煤矿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辽宁省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50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沈阳鼓风机集团股份有限公司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ascii="楷体_GB2312" w:eastAsia="楷体_GB2312"/>
          <w:highlight w:val="none"/>
        </w:rPr>
        <w:t>吉林省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5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吉林碳谷碳纤维股份有限公司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黑龙江省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5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2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龙建路桥股份有限公司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上海市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5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3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上海电气风电集团股份有限公司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5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4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上海赛可出行科技服务有限公司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5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5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海通证券股份有限公司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江苏省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5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6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江苏交通控股有限公司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5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7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徐州矿务集团有限公司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5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8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苏州轴承厂股份有限公司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浙江省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5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9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宁波舟山港集团有限公司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60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杭州制氧机集团股份有限公司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6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浙江沪杭甬高速公路股份有限公司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ascii="楷体_GB2312" w:eastAsia="楷体_GB2312"/>
          <w:highlight w:val="none"/>
        </w:rPr>
        <w:t>安徽省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6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2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安徽叉车集团有限责任公司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6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3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安徽海螺水泥股份有限公司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ascii="楷体_GB2312" w:eastAsia="楷体_GB2312"/>
          <w:highlight w:val="none"/>
        </w:rPr>
        <w:t>福建省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6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4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福建省三钢（集团）有限责任公司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江西省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6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5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江西铜业集团有限公司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6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6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江铃汽车集团有限公司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ascii="楷体_GB2312" w:eastAsia="楷体_GB2312"/>
          <w:highlight w:val="none"/>
        </w:rPr>
        <w:t>山东省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6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7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山东能源集团有限公司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6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8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山东华鲁恒升化工股份有限公司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ascii="楷体_GB2312" w:eastAsia="楷体_GB2312"/>
          <w:highlight w:val="none"/>
        </w:rPr>
        <w:t>河南省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6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9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麦斯克电子材料股份有限公司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70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洛阳LYC轴承有限公司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湖北省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7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湖北交投物流集团有限公司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7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2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中南建筑设计院股份有限公司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7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3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湖北安琪生物集团有限公司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ascii="楷体_GB2312" w:eastAsia="楷体_GB2312"/>
          <w:highlight w:val="none"/>
        </w:rPr>
        <w:t>湖南省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7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4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湖南新五丰股份有限公司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ascii="楷体_GB2312" w:eastAsia="楷体_GB2312"/>
          <w:highlight w:val="none"/>
        </w:rPr>
        <w:t>广东省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7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5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广州白云国际机场股份有限公司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7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6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广东兴发铝业有限公司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7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7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广州汽车集团股份有限公司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广西省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7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8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广西柳工机械股份有限公司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7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9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广西玉柴机器股份有限公司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海南省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80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海南海汽运输集团股份有限公司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重庆市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8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  <w:lang w:val="en-US" w:eastAsia="zh-CN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庆铃汽车（集团）有限公司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ascii="楷体_GB2312" w:eastAsia="楷体_GB2312"/>
          <w:highlight w:val="none"/>
        </w:rPr>
        <w:t>四川省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ascii="仿宋_GB2312" w:hAnsi="仿宋" w:cs="宋体"/>
          <w:color w:val="000000"/>
          <w:kern w:val="0"/>
          <w:szCs w:val="28"/>
          <w:highlight w:val="none"/>
        </w:rPr>
        <w:t>182.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四川发展环境投资集团有限公司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ascii="楷体_GB2312" w:eastAsia="楷体_GB2312"/>
          <w:highlight w:val="none"/>
        </w:rPr>
        <w:t>贵州省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83.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中国贵州茅台酒厂（集团）有限责任公司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ascii="楷体_GB2312" w:eastAsia="楷体_GB2312"/>
          <w:highlight w:val="none"/>
        </w:rPr>
        <w:t>云南省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84.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云南华联锌铟股份有限公司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85.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云南云天化股份有限公司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西藏自治区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86.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西藏建工建材集团有限公司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陕西</w:t>
      </w:r>
      <w:r>
        <w:rPr>
          <w:rFonts w:ascii="楷体_GB2312" w:eastAsia="楷体_GB2312"/>
          <w:highlight w:val="none"/>
        </w:rPr>
        <w:t>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87.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陕西煤业股份有限公司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88.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西部机场集团有限公司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ascii="楷体_GB2312" w:eastAsia="楷体_GB2312"/>
          <w:highlight w:val="none"/>
        </w:rPr>
        <w:t>甘肃省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89.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金川集团股份有限公司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ascii="楷体_GB2312" w:eastAsia="楷体_GB2312"/>
          <w:highlight w:val="none"/>
        </w:rPr>
        <w:t>青海省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90.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西部矿业股份有限公司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ascii="楷体_GB2312" w:eastAsia="楷体_GB2312"/>
          <w:highlight w:val="none"/>
        </w:rPr>
        <w:t>宁夏自治区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91.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宁夏农垦贺兰山奶业有限公司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ascii="楷体_GB2312" w:eastAsia="楷体_GB2312"/>
          <w:highlight w:val="none"/>
        </w:rPr>
        <w:t>新疆自治区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92.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乌鲁木齐城市建设投资（集团）有限公司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ascii="楷体_GB2312" w:eastAsia="楷体_GB2312"/>
          <w:highlight w:val="none"/>
        </w:rPr>
        <w:t>新疆建设兵团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93.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新疆生产建设兵团天然气有限公司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ascii="楷体_GB2312" w:eastAsia="楷体_GB2312"/>
          <w:highlight w:val="none"/>
        </w:rPr>
        <w:t>大连市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94.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大连华锐重工集团股份有限公司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95.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瓦房店轴承集团有限责任公司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ascii="楷体_GB2312" w:eastAsia="楷体_GB2312"/>
          <w:highlight w:val="none"/>
        </w:rPr>
        <w:t>宁波市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96.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宁波开发投资集团有限公司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ascii="楷体_GB2312" w:eastAsia="楷体_GB2312"/>
          <w:highlight w:val="none"/>
        </w:rPr>
        <w:t>厦门市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97.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厦门建发集团有限公司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hint="eastAsia" w:ascii="楷体_GB2312" w:eastAsia="楷体_GB2312"/>
          <w:highlight w:val="none"/>
        </w:rPr>
        <w:t>青岛市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98.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双星集团有限责任公司</w:t>
      </w:r>
    </w:p>
    <w:p>
      <w:pPr>
        <w:spacing w:line="600" w:lineRule="exact"/>
        <w:rPr>
          <w:rFonts w:ascii="楷体_GB2312" w:eastAsia="楷体_GB2312"/>
          <w:highlight w:val="none"/>
        </w:rPr>
      </w:pPr>
      <w:r>
        <w:rPr>
          <w:rFonts w:ascii="楷体_GB2312" w:eastAsia="楷体_GB2312"/>
          <w:highlight w:val="none"/>
        </w:rPr>
        <w:t>深圳市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99.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深圳市投资控股有限公司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2</w:t>
      </w:r>
      <w:r>
        <w:rPr>
          <w:rFonts w:ascii="仿宋_GB2312" w:hAnsi="仿宋" w:cs="宋体"/>
          <w:color w:val="000000"/>
          <w:kern w:val="0"/>
          <w:szCs w:val="28"/>
          <w:highlight w:val="none"/>
        </w:rPr>
        <w:t>00.</w:t>
      </w:r>
      <w:r>
        <w:rPr>
          <w:rFonts w:hint="eastAsia" w:ascii="仿宋_GB2312" w:hAnsi="仿宋" w:cs="宋体"/>
          <w:color w:val="000000"/>
          <w:kern w:val="0"/>
          <w:szCs w:val="28"/>
          <w:highlight w:val="none"/>
        </w:rPr>
        <w:t>深圳市创新投资集团有限公司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kern w:val="0"/>
          <w:szCs w:val="28"/>
          <w:highlight w:val="none"/>
        </w:rPr>
      </w:pPr>
    </w:p>
    <w:p>
      <w:pPr>
        <w:widowControl/>
        <w:spacing w:line="600" w:lineRule="exact"/>
        <w:ind w:firstLine="0" w:firstLineChars="0"/>
        <w:jc w:val="left"/>
        <w:rPr>
          <w:rFonts w:ascii="黑体" w:hAnsi="黑体" w:eastAsia="黑体"/>
          <w:highlight w:val="none"/>
        </w:rPr>
      </w:pPr>
      <w:r>
        <w:rPr>
          <w:rFonts w:ascii="黑体" w:hAnsi="黑体" w:eastAsia="黑体"/>
          <w:highlight w:val="none"/>
        </w:rPr>
        <w:br w:type="page"/>
      </w:r>
    </w:p>
    <w:p>
      <w:pPr>
        <w:spacing w:line="600" w:lineRule="exact"/>
        <w:ind w:firstLine="0" w:firstLineChars="0"/>
        <w:outlineLvl w:val="1"/>
        <w:rPr>
          <w:rFonts w:ascii="黑体" w:hAnsi="黑体" w:eastAsia="黑体"/>
          <w:highlight w:val="none"/>
        </w:rPr>
      </w:pPr>
      <w:r>
        <w:rPr>
          <w:rFonts w:hint="eastAsia" w:ascii="黑体" w:hAnsi="黑体" w:eastAsia="黑体"/>
          <w:highlight w:val="none"/>
        </w:rPr>
        <w:t>二</w:t>
      </w:r>
      <w:r>
        <w:rPr>
          <w:rFonts w:ascii="黑体" w:hAnsi="黑体" w:eastAsia="黑体"/>
          <w:highlight w:val="none"/>
        </w:rPr>
        <w:t>、标杆</w:t>
      </w:r>
      <w:r>
        <w:rPr>
          <w:rFonts w:hint="eastAsia" w:ascii="黑体" w:hAnsi="黑体" w:eastAsia="黑体"/>
          <w:highlight w:val="none"/>
        </w:rPr>
        <w:t>项目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中国核工业集团有限公司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1.“三高三强”战略规划体系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2.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新时代先进核科技创新体系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中国航天科技集团有限公司</w:t>
      </w:r>
    </w:p>
    <w:p>
      <w:pPr>
        <w:spacing w:line="600" w:lineRule="exact"/>
        <w:ind w:firstLine="1273" w:firstLineChars="398"/>
        <w:rPr>
          <w:rFonts w:hint="eastAsia" w:ascii="仿宋_GB2312" w:hAnsi="仿宋" w:eastAsia="仿宋_GB2312" w:cs="宋体"/>
          <w:color w:val="000000"/>
          <w:spacing w:val="0"/>
          <w:kern w:val="0"/>
          <w:szCs w:val="28"/>
          <w:highlight w:val="none"/>
          <w:lang w:val="en-US" w:eastAsia="zh-CN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3.航天产品精益运营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val="en-US" w:eastAsia="zh-CN"/>
        </w:rPr>
        <w:t>管理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中国航天科工集团有限公司</w:t>
      </w:r>
    </w:p>
    <w:p>
      <w:pPr>
        <w:spacing w:line="600" w:lineRule="exact"/>
        <w:ind w:firstLine="1273" w:firstLineChars="398"/>
        <w:rPr>
          <w:rFonts w:hint="eastAsia" w:ascii="仿宋_GB2312" w:hAnsi="仿宋" w:eastAsia="仿宋_GB2312" w:cs="宋体"/>
          <w:color w:val="000000"/>
          <w:spacing w:val="0"/>
          <w:kern w:val="0"/>
          <w:szCs w:val="28"/>
          <w:highlight w:val="none"/>
          <w:lang w:eastAsia="zh-CN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4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科技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型企业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内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部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创业与量化激励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机制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中国航空工业集团有限公司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5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适应航空工业发展趋势的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战略规划体系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6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基于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航空工业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特点的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薪酬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管理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体系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中国兵器工业集团有限公司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7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支撑国防和军队“三步走”战略的装备研发体系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8.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以高质量发展指标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体系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为指引的运行管理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中国兵器装备集团有限公司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9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战略管控型企业集团的闭环战略管理体系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中国电子科技集团有限公司</w:t>
      </w:r>
    </w:p>
    <w:p>
      <w:pPr>
        <w:spacing w:line="600" w:lineRule="exact"/>
        <w:ind w:firstLine="1273" w:firstLineChars="398"/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hint="eastAsia" w:ascii="仿宋_GB2312" w:hAnsi="仿宋" w:eastAsia="宋体" w:cs="宋体"/>
          <w:color w:val="000000"/>
          <w:spacing w:val="0"/>
          <w:kern w:val="0"/>
          <w:szCs w:val="28"/>
          <w:highlight w:val="none"/>
          <w:lang w:val="en-US" w:eastAsia="zh-CN"/>
        </w:rPr>
        <w:t>10.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复杂军工电子装备数字化可视化智能化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全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生命</w:t>
      </w:r>
    </w:p>
    <w:p>
      <w:pPr>
        <w:numPr>
          <w:ilvl w:val="0"/>
          <w:numId w:val="0"/>
        </w:numPr>
        <w:spacing w:line="600" w:lineRule="exact"/>
        <w:ind w:firstLine="0" w:firstLineChars="0"/>
        <w:rPr>
          <w:rFonts w:hint="eastAsia" w:ascii="仿宋_GB2312" w:hAnsi="仿宋" w:eastAsia="宋体" w:cs="宋体"/>
          <w:color w:val="000000"/>
          <w:spacing w:val="0"/>
          <w:kern w:val="0"/>
          <w:szCs w:val="28"/>
          <w:highlight w:val="none"/>
          <w:lang w:eastAsia="zh-CN"/>
        </w:rPr>
      </w:pPr>
      <w:r>
        <w:rPr>
          <w:rFonts w:hint="eastAsia" w:ascii="仿宋_GB2312" w:hAnsi="仿宋" w:eastAsia="宋体" w:cs="宋体"/>
          <w:color w:val="000000"/>
          <w:spacing w:val="0"/>
          <w:kern w:val="0"/>
          <w:szCs w:val="28"/>
          <w:highlight w:val="none"/>
          <w:lang w:eastAsia="zh-CN"/>
        </w:rPr>
        <w:t>　　　　　</w:t>
      </w:r>
      <w:r>
        <w:rPr>
          <w:rFonts w:hint="eastAsia" w:ascii="仿宋_GB2312" w:hAnsi="仿宋" w:eastAsia="宋体" w:cs="宋体"/>
          <w:color w:val="000000"/>
          <w:spacing w:val="0"/>
          <w:kern w:val="0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周期质量管理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中国航空发动机集团有限公司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1.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“一体化”流程要素管理体系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中国石油天然气集团有限公司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2.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以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金融资源集约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化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为核心的司库管理体系</w:t>
      </w:r>
    </w:p>
    <w:p>
      <w:pPr>
        <w:spacing w:line="600" w:lineRule="exact"/>
        <w:ind w:firstLine="1273" w:firstLineChars="398"/>
        <w:rPr>
          <w:rFonts w:hint="eastAsia" w:ascii="仿宋_GB2312" w:hAnsi="仿宋" w:eastAsia="仿宋_GB2312" w:cs="宋体"/>
          <w:color w:val="000000"/>
          <w:spacing w:val="0"/>
          <w:kern w:val="0"/>
          <w:szCs w:val="28"/>
          <w:highlight w:val="none"/>
          <w:lang w:eastAsia="zh-CN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3.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“一带一路”油气合作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战略管理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中国石油化工集团有限公司</w:t>
      </w:r>
    </w:p>
    <w:p>
      <w:pPr>
        <w:spacing w:line="600" w:lineRule="exact"/>
        <w:ind w:firstLine="1273" w:firstLineChars="398"/>
        <w:rPr>
          <w:rFonts w:hint="eastAsia" w:ascii="仿宋_GB2312" w:hAnsi="仿宋" w:eastAsia="仿宋_GB2312" w:cs="宋体"/>
          <w:color w:val="000000"/>
          <w:spacing w:val="0"/>
          <w:kern w:val="0"/>
          <w:szCs w:val="28"/>
          <w:highlight w:val="none"/>
          <w:lang w:eastAsia="zh-CN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4.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采购供应链管理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体系</w:t>
      </w:r>
    </w:p>
    <w:p>
      <w:pPr>
        <w:spacing w:line="600" w:lineRule="exact"/>
        <w:ind w:firstLine="1273" w:firstLineChars="398"/>
        <w:rPr>
          <w:rFonts w:hint="eastAsia" w:ascii="仿宋_GB2312" w:hAnsi="仿宋" w:eastAsia="仿宋_GB2312" w:cs="宋体"/>
          <w:color w:val="000000"/>
          <w:spacing w:val="0"/>
          <w:kern w:val="0"/>
          <w:szCs w:val="28"/>
          <w:highlight w:val="none"/>
          <w:lang w:eastAsia="zh-CN"/>
        </w:rPr>
      </w:pP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15.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以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高质量发展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管理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指标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为基础的运营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评价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机制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中国海洋石油集团有限公司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6.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以战略为导向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的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风险管理体系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7.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销售侧管理数字化转型系统</w:t>
      </w:r>
    </w:p>
    <w:p>
      <w:pPr>
        <w:spacing w:line="600" w:lineRule="exact"/>
        <w:ind w:firstLine="636" w:firstLineChars="199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国家石油天然气管网集团有限公司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8.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中缅油气管道数字化恢复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系统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国家电网有限公司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1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9.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电网数字化转型升级</w:t>
      </w:r>
    </w:p>
    <w:p>
      <w:pPr>
        <w:spacing w:line="600" w:lineRule="exact"/>
        <w:ind w:firstLine="1273" w:firstLineChars="398"/>
        <w:rPr>
          <w:rFonts w:hint="eastAsia" w:ascii="仿宋_GB2312" w:hAnsi="仿宋" w:eastAsia="仿宋_GB2312" w:cs="宋体"/>
          <w:color w:val="000000"/>
          <w:spacing w:val="0"/>
          <w:kern w:val="0"/>
          <w:szCs w:val="28"/>
          <w:highlight w:val="none"/>
          <w:lang w:eastAsia="zh-CN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2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0.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国网电商“能源+互联网”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管理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中国南方电网有限责任公司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2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1.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对标国际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的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资产管理体系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22.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电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网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可靠性管理的理论与实践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中国华能集团有限公司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2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3.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全流域开发保护工程建设管理</w:t>
      </w:r>
    </w:p>
    <w:p>
      <w:pPr>
        <w:spacing w:line="600" w:lineRule="exact"/>
        <w:ind w:firstLine="1273" w:firstLineChars="398"/>
        <w:rPr>
          <w:rFonts w:hint="eastAsia" w:ascii="仿宋_GB2312" w:hAnsi="仿宋" w:eastAsia="仿宋_GB2312" w:cs="宋体"/>
          <w:color w:val="000000"/>
          <w:spacing w:val="0"/>
          <w:kern w:val="0"/>
          <w:szCs w:val="28"/>
          <w:highlight w:val="none"/>
          <w:lang w:eastAsia="zh-CN"/>
        </w:rPr>
      </w:pP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24.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IGCC示范工程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科技管理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中国大唐集团有限公司</w:t>
      </w:r>
    </w:p>
    <w:p>
      <w:pPr>
        <w:spacing w:line="600" w:lineRule="exact"/>
        <w:ind w:firstLine="1273" w:firstLineChars="398"/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hint="eastAsia" w:ascii="仿宋_GB2312" w:hAnsi="仿宋" w:eastAsia="宋体" w:cs="宋体"/>
          <w:color w:val="000000"/>
          <w:spacing w:val="0"/>
          <w:kern w:val="0"/>
          <w:szCs w:val="28"/>
          <w:highlight w:val="none"/>
          <w:lang w:val="en-US" w:eastAsia="zh-CN"/>
        </w:rPr>
        <w:t>25.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基于流程机器人（RPA)技术的电力企业数字化</w:t>
      </w:r>
    </w:p>
    <w:p>
      <w:pPr>
        <w:numPr>
          <w:ilvl w:val="0"/>
          <w:numId w:val="0"/>
        </w:numPr>
        <w:spacing w:line="600" w:lineRule="exact"/>
        <w:ind w:firstLine="0" w:firstLineChars="0"/>
        <w:rPr>
          <w:rFonts w:hint="eastAsia" w:ascii="仿宋_GB2312" w:hAnsi="仿宋" w:eastAsia="仿宋_GB2312" w:cs="宋体"/>
          <w:color w:val="000000"/>
          <w:spacing w:val="0"/>
          <w:kern w:val="0"/>
          <w:szCs w:val="28"/>
          <w:highlight w:val="none"/>
          <w:lang w:eastAsia="zh-CN"/>
        </w:rPr>
      </w:pPr>
      <w:r>
        <w:rPr>
          <w:rFonts w:hint="eastAsia" w:ascii="仿宋_GB2312" w:hAnsi="仿宋" w:eastAsia="宋体" w:cs="宋体"/>
          <w:color w:val="000000"/>
          <w:spacing w:val="0"/>
          <w:kern w:val="0"/>
          <w:szCs w:val="28"/>
          <w:highlight w:val="none"/>
          <w:lang w:eastAsia="zh-CN"/>
        </w:rPr>
        <w:t>　　　　　</w:t>
      </w:r>
      <w:r>
        <w:rPr>
          <w:rFonts w:hint="eastAsia" w:ascii="仿宋_GB2312" w:hAnsi="仿宋" w:eastAsia="宋体" w:cs="宋体"/>
          <w:color w:val="000000"/>
          <w:spacing w:val="0"/>
          <w:kern w:val="0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财务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管理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中国华电集团有限公司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26.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数字赋能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的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碳排放管理</w:t>
      </w:r>
    </w:p>
    <w:p>
      <w:pPr>
        <w:spacing w:line="600" w:lineRule="exact"/>
        <w:ind w:firstLine="1273" w:firstLineChars="398"/>
        <w:rPr>
          <w:rFonts w:hint="eastAsia" w:ascii="仿宋_GB2312" w:hAnsi="仿宋" w:eastAsia="仿宋_GB2312" w:cs="宋体"/>
          <w:color w:val="000000"/>
          <w:spacing w:val="0"/>
          <w:kern w:val="0"/>
          <w:szCs w:val="28"/>
          <w:highlight w:val="none"/>
          <w:lang w:eastAsia="zh-CN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2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7.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“一体系、一张网”的现代企业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管理体系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国家电力投资集团有限公司</w:t>
      </w:r>
    </w:p>
    <w:p>
      <w:pPr>
        <w:spacing w:line="600" w:lineRule="exact"/>
        <w:ind w:firstLine="1273" w:firstLineChars="398"/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hint="eastAsia" w:ascii="仿宋_GB2312" w:hAnsi="仿宋" w:eastAsia="宋体" w:cs="宋体"/>
          <w:color w:val="000000"/>
          <w:spacing w:val="0"/>
          <w:kern w:val="0"/>
          <w:szCs w:val="28"/>
          <w:highlight w:val="none"/>
          <w:lang w:val="en-US" w:eastAsia="zh-CN"/>
        </w:rPr>
        <w:t>28.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基于法治框架的法律、合规、风险、内控协同</w:t>
      </w:r>
    </w:p>
    <w:p>
      <w:pPr>
        <w:numPr>
          <w:ilvl w:val="0"/>
          <w:numId w:val="0"/>
        </w:numPr>
        <w:spacing w:line="600" w:lineRule="exact"/>
        <w:ind w:firstLine="0" w:firstLineChars="0"/>
        <w:rPr>
          <w:rFonts w:hint="eastAsia" w:ascii="仿宋_GB2312" w:hAnsi="仿宋" w:eastAsia="仿宋_GB2312" w:cs="宋体"/>
          <w:color w:val="000000"/>
          <w:spacing w:val="0"/>
          <w:kern w:val="0"/>
          <w:szCs w:val="28"/>
          <w:highlight w:val="none"/>
          <w:lang w:eastAsia="zh-CN"/>
        </w:rPr>
      </w:pPr>
      <w:r>
        <w:rPr>
          <w:rFonts w:hint="eastAsia" w:ascii="仿宋_GB2312" w:hAnsi="仿宋" w:eastAsia="宋体" w:cs="宋体"/>
          <w:color w:val="000000"/>
          <w:spacing w:val="0"/>
          <w:kern w:val="0"/>
          <w:szCs w:val="28"/>
          <w:highlight w:val="none"/>
          <w:lang w:eastAsia="zh-CN"/>
        </w:rPr>
        <w:t>　　　　　</w:t>
      </w:r>
      <w:r>
        <w:rPr>
          <w:rFonts w:hint="eastAsia" w:ascii="仿宋_GB2312" w:hAnsi="仿宋" w:eastAsia="宋体" w:cs="宋体"/>
          <w:color w:val="000000"/>
          <w:spacing w:val="0"/>
          <w:kern w:val="0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管理体系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中国长江三峡集团有限公司</w:t>
      </w:r>
    </w:p>
    <w:p>
      <w:pPr>
        <w:spacing w:line="600" w:lineRule="exact"/>
        <w:ind w:firstLine="1280" w:firstLineChars="400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2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9.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电力企业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国际化战略管理</w:t>
      </w:r>
    </w:p>
    <w:p>
      <w:pPr>
        <w:spacing w:line="600" w:lineRule="exact"/>
        <w:ind w:firstLine="1273" w:firstLineChars="398"/>
        <w:rPr>
          <w:rFonts w:hint="eastAsia" w:ascii="仿宋_GB2312" w:hAnsi="仿宋" w:eastAsia="仿宋_GB2312" w:cs="宋体"/>
          <w:color w:val="000000"/>
          <w:spacing w:val="0"/>
          <w:kern w:val="0"/>
          <w:szCs w:val="28"/>
          <w:highlight w:val="none"/>
          <w:lang w:eastAsia="zh-CN"/>
        </w:rPr>
      </w:pP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30.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长江经济带城镇污水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治理机制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国家能源投资集团有限责任公司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3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1.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一体化发展的能源企业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生产运营协同调度系统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中国电信集团有限公司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32.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基于“六力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模型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”的智能客服管理</w:t>
      </w:r>
    </w:p>
    <w:p>
      <w:pPr>
        <w:spacing w:line="600" w:lineRule="exact"/>
        <w:ind w:firstLine="1273" w:firstLineChars="398"/>
        <w:rPr>
          <w:rFonts w:hint="eastAsia" w:ascii="仿宋_GB2312" w:hAnsi="仿宋" w:eastAsia="仿宋_GB2312" w:cs="宋体"/>
          <w:color w:val="000000"/>
          <w:spacing w:val="0"/>
          <w:kern w:val="0"/>
          <w:szCs w:val="28"/>
          <w:highlight w:val="none"/>
          <w:lang w:eastAsia="zh-CN"/>
        </w:rPr>
      </w:pP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33.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大数据财务风险防控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体系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中国联合网络通信集团有限公司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3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4.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智慧供应链管理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中国移动通信集团有限公司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3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5.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数智化供应链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管理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36.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智慧财务管控体系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中国第一汽车集团有限公司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3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7.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OTD流程全自动化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管理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系统</w:t>
      </w:r>
    </w:p>
    <w:p>
      <w:pPr>
        <w:spacing w:line="600" w:lineRule="exact"/>
        <w:ind w:firstLine="1273" w:firstLineChars="398"/>
        <w:rPr>
          <w:rFonts w:hint="eastAsia" w:ascii="仿宋_GB2312" w:hAnsi="仿宋" w:eastAsia="仿宋_GB2312" w:cs="宋体"/>
          <w:color w:val="000000"/>
          <w:spacing w:val="0"/>
          <w:kern w:val="0"/>
          <w:szCs w:val="28"/>
          <w:highlight w:val="none"/>
          <w:lang w:eastAsia="zh-CN"/>
        </w:rPr>
      </w:pP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38.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红旗数字化工厂建设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与运营管理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东风汽车集团有限公司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3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9.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大型企业集团财务一体化管理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中国一重集团有限公司</w:t>
      </w:r>
    </w:p>
    <w:p>
      <w:pPr>
        <w:spacing w:line="600" w:lineRule="exact"/>
        <w:ind w:firstLine="1273" w:firstLineChars="398"/>
        <w:rPr>
          <w:rFonts w:hint="eastAsia" w:ascii="仿宋_GB2312" w:hAnsi="仿宋" w:eastAsia="仿宋_GB2312" w:cs="宋体"/>
          <w:color w:val="000000"/>
          <w:spacing w:val="0"/>
          <w:kern w:val="0"/>
          <w:szCs w:val="28"/>
          <w:highlight w:val="none"/>
          <w:lang w:eastAsia="zh-CN"/>
        </w:rPr>
      </w:pP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40.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大连核电石化公司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“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225+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”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精益数字化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管理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中国东方电气集团有限公司</w:t>
      </w:r>
    </w:p>
    <w:p>
      <w:pPr>
        <w:spacing w:line="600" w:lineRule="exact"/>
        <w:ind w:firstLine="1273" w:firstLineChars="398"/>
        <w:rPr>
          <w:rFonts w:hint="eastAsia" w:ascii="仿宋_GB2312" w:hAnsi="仿宋" w:eastAsia="仿宋_GB2312" w:cs="宋体"/>
          <w:color w:val="000000"/>
          <w:spacing w:val="0"/>
          <w:kern w:val="0"/>
          <w:szCs w:val="28"/>
          <w:highlight w:val="none"/>
          <w:lang w:eastAsia="zh-CN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4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1.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大型发电设备核心部件数字化生产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管理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鞍钢集团有限公司</w:t>
      </w:r>
    </w:p>
    <w:p>
      <w:pPr>
        <w:spacing w:line="600" w:lineRule="exact"/>
        <w:ind w:firstLine="1273" w:firstLineChars="398"/>
        <w:rPr>
          <w:rFonts w:hint="eastAsia" w:ascii="仿宋_GB2312" w:hAnsi="仿宋" w:eastAsia="仿宋_GB2312" w:cs="宋体"/>
          <w:color w:val="000000"/>
          <w:spacing w:val="0"/>
          <w:kern w:val="0"/>
          <w:szCs w:val="28"/>
          <w:highlight w:val="none"/>
          <w:lang w:eastAsia="zh-CN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4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2.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以激发活力和提高效率为导向的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人力资源管理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中国宝武钢铁集团有限公司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4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3.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绩效驱动型战略执行体系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中国铝业集团有限公司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4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4.</w:t>
      </w:r>
      <w:r>
        <w:rPr>
          <w:rFonts w:ascii="Times New Roman" w:hAnsi="Times New Roman" w:eastAsia="仿宋_GB2312"/>
          <w:sz w:val="32"/>
          <w:szCs w:val="32"/>
          <w:highlight w:val="none"/>
        </w:rPr>
        <w:t>“三横三纵三个全覆盖”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新型管控体系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中国远洋海运集团有限公司</w:t>
      </w:r>
    </w:p>
    <w:p>
      <w:pPr>
        <w:spacing w:line="600" w:lineRule="exact"/>
        <w:ind w:firstLine="1273" w:firstLineChars="398"/>
        <w:rPr>
          <w:rFonts w:hint="eastAsia" w:ascii="仿宋_GB2312" w:hAnsi="仿宋" w:eastAsia="仿宋_GB2312" w:cs="宋体"/>
          <w:color w:val="000000"/>
          <w:spacing w:val="0"/>
          <w:kern w:val="0"/>
          <w:szCs w:val="28"/>
          <w:highlight w:val="none"/>
          <w:lang w:eastAsia="zh-CN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4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5.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船舶智能制造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管理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中国航空集团有限公司</w:t>
      </w:r>
    </w:p>
    <w:p>
      <w:pPr>
        <w:spacing w:line="600" w:lineRule="exact"/>
        <w:ind w:firstLine="1273" w:firstLineChars="398"/>
        <w:rPr>
          <w:rFonts w:hint="eastAsia" w:ascii="仿宋_GB2312" w:hAnsi="仿宋" w:eastAsia="仿宋_GB2312" w:cs="宋体"/>
          <w:color w:val="000000"/>
          <w:spacing w:val="0"/>
          <w:kern w:val="0"/>
          <w:szCs w:val="28"/>
          <w:highlight w:val="none"/>
          <w:lang w:eastAsia="zh-CN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4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6.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飞机资产数字化运营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管理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中国东方航空集团有限公司</w:t>
      </w:r>
    </w:p>
    <w:p>
      <w:pPr>
        <w:spacing w:line="600" w:lineRule="exact"/>
        <w:ind w:firstLine="1273" w:firstLineChars="398"/>
        <w:rPr>
          <w:rFonts w:hint="eastAsia" w:ascii="仿宋_GB2312" w:hAnsi="仿宋" w:eastAsia="仿宋_GB2312" w:cs="宋体"/>
          <w:color w:val="000000"/>
          <w:spacing w:val="0"/>
          <w:kern w:val="0"/>
          <w:szCs w:val="28"/>
          <w:highlight w:val="none"/>
          <w:lang w:eastAsia="zh-CN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4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7.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航班地面保障管理体系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48.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航企跨境业务风险管理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中国南方航空集团有限公司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4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9.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精益运行管理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中国中化控股有限责任公司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50.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中长期激励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管理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体系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中国五矿集团有限公司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5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1.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1+N全面风险管理体系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中国通用技术（集团）控股有限责任公司</w:t>
      </w:r>
    </w:p>
    <w:p>
      <w:pPr>
        <w:spacing w:line="600" w:lineRule="exact"/>
        <w:ind w:firstLine="1273" w:firstLineChars="398"/>
        <w:rPr>
          <w:rFonts w:hint="eastAsia" w:ascii="仿宋_GB2312" w:hAnsi="仿宋" w:eastAsia="仿宋_GB2312" w:cs="宋体"/>
          <w:color w:val="000000"/>
          <w:spacing w:val="0"/>
          <w:kern w:val="0"/>
          <w:szCs w:val="28"/>
          <w:highlight w:val="none"/>
          <w:lang w:eastAsia="zh-CN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5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2.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通用环球医疗集团专科经营绩效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持续改善机制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中国建筑集团有限公司</w:t>
      </w:r>
    </w:p>
    <w:p>
      <w:pPr>
        <w:spacing w:line="600" w:lineRule="exact"/>
        <w:ind w:firstLine="1273" w:firstLineChars="398"/>
        <w:rPr>
          <w:rFonts w:hint="eastAsia" w:ascii="仿宋_GB2312" w:hAnsi="仿宋" w:eastAsia="仿宋_GB2312" w:cs="宋体"/>
          <w:color w:val="000000"/>
          <w:spacing w:val="0"/>
          <w:kern w:val="0"/>
          <w:szCs w:val="28"/>
          <w:highlight w:val="none"/>
          <w:lang w:eastAsia="zh-CN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5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3.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火神山、雷神山项目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建设管理</w:t>
      </w:r>
    </w:p>
    <w:p>
      <w:pPr>
        <w:spacing w:line="600" w:lineRule="exact"/>
        <w:ind w:firstLine="1273" w:firstLineChars="398"/>
        <w:rPr>
          <w:rFonts w:hint="eastAsia" w:ascii="仿宋_GB2312" w:hAnsi="仿宋" w:eastAsia="仿宋_GB2312" w:cs="宋体"/>
          <w:color w:val="000000"/>
          <w:spacing w:val="0"/>
          <w:kern w:val="0"/>
          <w:szCs w:val="28"/>
          <w:highlight w:val="none"/>
          <w:lang w:eastAsia="zh-CN"/>
        </w:rPr>
      </w:pP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54.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以价值指数为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基础的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人力资源管理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国家开发投资集团有限公司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5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val="en-US" w:eastAsia="zh-CN"/>
        </w:rPr>
        <w:t>5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以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战略规划为统领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的结构调整长效机制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招商局集团有限公司</w:t>
      </w:r>
    </w:p>
    <w:p>
      <w:pPr>
        <w:spacing w:line="600" w:lineRule="exact"/>
        <w:ind w:firstLine="1273" w:firstLineChars="398"/>
        <w:rPr>
          <w:rFonts w:hint="eastAsia" w:ascii="仿宋_GB2312" w:hAnsi="仿宋" w:eastAsia="仿宋_GB2312" w:cs="宋体"/>
          <w:color w:val="000000"/>
          <w:spacing w:val="0"/>
          <w:kern w:val="0"/>
          <w:szCs w:val="28"/>
          <w:highlight w:val="none"/>
          <w:lang w:eastAsia="zh-CN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5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val="en-US" w:eastAsia="zh-CN"/>
        </w:rPr>
        <w:t>6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“新海辽”轮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精细化运营管理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华润（集团）有限公司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5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val="en-US" w:eastAsia="zh-CN"/>
        </w:rPr>
        <w:t>7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5C价值型财务管理体系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中国旅游集团有限公司[香港中旅（集团）有限公司]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5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val="en-US" w:eastAsia="zh-CN"/>
        </w:rPr>
        <w:t>8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中旅酒店数字化转型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中国商用飞机有限责任公司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val="en-US" w:eastAsia="zh-CN"/>
        </w:rPr>
        <w:t>59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商用飞机“全科急诊室”运行支持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系统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中国节能环保集团有限公司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6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val="en-US" w:eastAsia="zh-CN"/>
        </w:rPr>
        <w:t>0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低碳化水务运营管理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中国中煤能源集团有限公司</w:t>
      </w:r>
    </w:p>
    <w:p>
      <w:pPr>
        <w:spacing w:line="600" w:lineRule="exact"/>
        <w:ind w:firstLine="1273" w:firstLineChars="398"/>
        <w:rPr>
          <w:rFonts w:hint="eastAsia" w:ascii="仿宋_GB2312" w:hAnsi="仿宋" w:eastAsia="仿宋_GB2312" w:cs="宋体"/>
          <w:color w:val="000000"/>
          <w:spacing w:val="0"/>
          <w:kern w:val="0"/>
          <w:szCs w:val="28"/>
          <w:highlight w:val="none"/>
          <w:lang w:eastAsia="zh-CN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6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val="en-US" w:eastAsia="zh-CN"/>
        </w:rPr>
        <w:t>1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煤矿智能化科技创新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管理</w:t>
      </w:r>
    </w:p>
    <w:p>
      <w:pPr>
        <w:spacing w:line="600" w:lineRule="exact"/>
        <w:rPr>
          <w:rFonts w:hint="eastAsia"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中国钢研科技集团有限公司</w:t>
      </w:r>
    </w:p>
    <w:p>
      <w:pPr>
        <w:spacing w:line="600" w:lineRule="exact"/>
        <w:ind w:firstLine="1273" w:firstLineChars="398"/>
        <w:rPr>
          <w:rFonts w:hint="eastAsia" w:ascii="仿宋_GB2312" w:hAnsi="仿宋" w:eastAsia="仿宋_GB2312" w:cs="宋体"/>
          <w:color w:val="000000"/>
          <w:spacing w:val="0"/>
          <w:kern w:val="0"/>
          <w:szCs w:val="28"/>
          <w:highlight w:val="none"/>
          <w:lang w:eastAsia="zh-CN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6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val="en-US" w:eastAsia="zh-CN"/>
        </w:rPr>
        <w:t>2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.稀土永磁智能制造执行信息化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管理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中国化学工程集团有限公司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6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3.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法律、合规、风险、内控“四位一体”管理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中国有色矿业集团有限公司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6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4.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境内外资金集中管理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矿冶科技集团有限公司</w:t>
      </w:r>
    </w:p>
    <w:p>
      <w:pPr>
        <w:spacing w:line="600" w:lineRule="exact"/>
        <w:ind w:firstLine="1273" w:firstLineChars="398"/>
        <w:rPr>
          <w:rFonts w:hint="eastAsia" w:ascii="仿宋_GB2312" w:hAnsi="仿宋" w:eastAsia="仿宋_GB2312" w:cs="宋体"/>
          <w:color w:val="000000"/>
          <w:spacing w:val="0"/>
          <w:kern w:val="0"/>
          <w:szCs w:val="28"/>
          <w:highlight w:val="none"/>
          <w:lang w:eastAsia="zh-CN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6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5.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企业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管理驾驶舱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系统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中国国际技术智力合作集团有限公司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6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6.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“四段十六步”对标管理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中国中车集团有限公司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6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7.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基于“6621”核心逻辑的精益管理体系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中国铁路通信信号集团有限公司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6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8.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“三攻三保”科技创新方法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中国铁路工程集团有限公司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6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9.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工程项目现金流自平衡管理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中国铁道建筑集团有限公司</w:t>
      </w:r>
    </w:p>
    <w:p>
      <w:pPr>
        <w:spacing w:line="600" w:lineRule="exact"/>
        <w:ind w:firstLine="1273" w:firstLineChars="398"/>
        <w:rPr>
          <w:rFonts w:hint="eastAsia" w:ascii="仿宋_GB2312" w:hAnsi="仿宋" w:eastAsia="仿宋_GB2312" w:cs="宋体"/>
          <w:color w:val="000000"/>
          <w:spacing w:val="0"/>
          <w:kern w:val="0"/>
          <w:szCs w:val="28"/>
          <w:highlight w:val="none"/>
          <w:lang w:eastAsia="zh-CN"/>
        </w:rPr>
      </w:pP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70.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“1234+”工程项目管理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中国交通建设集团有限公司</w:t>
      </w:r>
    </w:p>
    <w:p>
      <w:pPr>
        <w:spacing w:line="600" w:lineRule="exact"/>
        <w:ind w:firstLine="1273" w:firstLineChars="398"/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hint="eastAsia" w:ascii="仿宋_GB2312" w:hAnsi="仿宋" w:eastAsia="宋体" w:cs="宋体"/>
          <w:color w:val="000000"/>
          <w:spacing w:val="0"/>
          <w:kern w:val="0"/>
          <w:szCs w:val="28"/>
          <w:highlight w:val="none"/>
          <w:lang w:val="en-US" w:eastAsia="zh-CN"/>
        </w:rPr>
        <w:t>71.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以实现集团整体利益最大化为核心的供应链管</w:t>
      </w:r>
    </w:p>
    <w:p>
      <w:pPr>
        <w:numPr>
          <w:ilvl w:val="0"/>
          <w:numId w:val="0"/>
        </w:numPr>
        <w:spacing w:line="600" w:lineRule="exact"/>
        <w:ind w:firstLine="0" w:firstLineChars="0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hint="eastAsia" w:ascii="仿宋_GB2312" w:hAnsi="仿宋" w:eastAsia="宋体" w:cs="宋体"/>
          <w:color w:val="000000"/>
          <w:spacing w:val="0"/>
          <w:kern w:val="0"/>
          <w:szCs w:val="28"/>
          <w:highlight w:val="none"/>
          <w:lang w:eastAsia="zh-CN"/>
        </w:rPr>
        <w:t>　　　　　</w:t>
      </w:r>
      <w:r>
        <w:rPr>
          <w:rFonts w:hint="eastAsia" w:ascii="仿宋_GB2312" w:hAnsi="仿宋" w:eastAsia="宋体" w:cs="宋体"/>
          <w:color w:val="000000"/>
          <w:spacing w:val="0"/>
          <w:kern w:val="0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理体系</w:t>
      </w:r>
    </w:p>
    <w:p>
      <w:pPr>
        <w:spacing w:line="600" w:lineRule="exact"/>
        <w:rPr>
          <w:rFonts w:hint="eastAsia" w:ascii="楷体_GB2312" w:eastAsia="楷体_GB2312"/>
          <w:spacing w:val="0"/>
          <w:highlight w:val="none"/>
          <w:lang w:eastAsia="zh-CN"/>
        </w:rPr>
      </w:pPr>
      <w:r>
        <w:rPr>
          <w:rFonts w:hint="eastAsia" w:ascii="楷体_GB2312" w:eastAsia="楷体_GB2312"/>
          <w:spacing w:val="0"/>
          <w:highlight w:val="none"/>
          <w:lang w:eastAsia="zh-CN"/>
        </w:rPr>
        <w:t>中国信息通信科技集团有限公司</w:t>
      </w:r>
    </w:p>
    <w:p>
      <w:pPr>
        <w:spacing w:line="600" w:lineRule="exact"/>
        <w:ind w:firstLine="1273" w:firstLineChars="398"/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7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val="en-US" w:eastAsia="zh-CN"/>
        </w:rPr>
        <w:t>2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.烽火通信集成产品开发管理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中国医药集团有限公司</w:t>
      </w:r>
    </w:p>
    <w:p>
      <w:pPr>
        <w:spacing w:line="600" w:lineRule="exact"/>
        <w:ind w:firstLine="1273" w:firstLineChars="398"/>
        <w:rPr>
          <w:rFonts w:hint="eastAsia" w:ascii="仿宋_GB2312" w:hAnsi="仿宋" w:eastAsia="仿宋_GB2312" w:cs="宋体"/>
          <w:color w:val="000000"/>
          <w:spacing w:val="0"/>
          <w:kern w:val="0"/>
          <w:szCs w:val="28"/>
          <w:highlight w:val="none"/>
          <w:lang w:eastAsia="zh-CN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7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val="en-US" w:eastAsia="zh-CN"/>
        </w:rPr>
        <w:t>3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新冠灭活疫苗研发创新及产业化项目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管理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7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val="en-US" w:eastAsia="zh-CN"/>
        </w:rPr>
        <w:t>4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医疗健康产业集团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的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战略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管理和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转型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中国电力建设集团有限公司</w:t>
      </w:r>
    </w:p>
    <w:p>
      <w:pPr>
        <w:spacing w:line="600" w:lineRule="exact"/>
        <w:ind w:firstLine="1273" w:firstLineChars="398"/>
        <w:rPr>
          <w:rFonts w:hint="eastAsia" w:ascii="仿宋_GB2312" w:hAnsi="仿宋" w:eastAsia="仿宋_GB2312" w:cs="宋体"/>
          <w:color w:val="000000"/>
          <w:spacing w:val="0"/>
          <w:kern w:val="0"/>
          <w:szCs w:val="28"/>
          <w:highlight w:val="none"/>
          <w:lang w:eastAsia="zh-CN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7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val="en-US" w:eastAsia="zh-CN"/>
        </w:rPr>
        <w:t>5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基于“三链一平台”的数字化创新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管理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中国广核集团有限公司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7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val="en-US" w:eastAsia="zh-CN"/>
        </w:rPr>
        <w:t>6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制度流程管理“四化”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华侨城集团有限公司</w:t>
      </w:r>
    </w:p>
    <w:p>
      <w:pPr>
        <w:spacing w:line="600" w:lineRule="exact"/>
        <w:ind w:firstLine="1273" w:firstLineChars="398"/>
        <w:rPr>
          <w:rFonts w:hint="eastAsia" w:ascii="仿宋_GB2312" w:hAnsi="仿宋" w:eastAsia="仿宋_GB2312" w:cs="宋体"/>
          <w:color w:val="000000"/>
          <w:spacing w:val="0"/>
          <w:kern w:val="0"/>
          <w:szCs w:val="28"/>
          <w:highlight w:val="none"/>
          <w:lang w:eastAsia="zh-CN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7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val="en-US" w:eastAsia="zh-CN"/>
        </w:rPr>
        <w:t>7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市场化薪酬分配与激励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约束机制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中国西电集团有限公司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7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val="en-US" w:eastAsia="zh-CN"/>
        </w:rPr>
        <w:t>8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以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市场化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为导向的人才管理体系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中国国新控股有限责任公司</w:t>
      </w:r>
    </w:p>
    <w:p>
      <w:pPr>
        <w:spacing w:line="600" w:lineRule="exact"/>
        <w:ind w:firstLine="1273" w:firstLineChars="398"/>
        <w:rPr>
          <w:rFonts w:hint="eastAsia" w:ascii="仿宋_GB2312" w:hAnsi="仿宋" w:eastAsia="仿宋_GB2312" w:cs="宋体"/>
          <w:color w:val="000000"/>
          <w:spacing w:val="0"/>
          <w:kern w:val="0"/>
          <w:szCs w:val="28"/>
          <w:highlight w:val="none"/>
          <w:lang w:eastAsia="zh-CN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val="en-US" w:eastAsia="zh-CN"/>
        </w:rPr>
        <w:t>79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孚能科技投后赋能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管理</w:t>
      </w:r>
    </w:p>
    <w:p>
      <w:pPr>
        <w:spacing w:line="600" w:lineRule="exact"/>
        <w:rPr>
          <w:rFonts w:hint="eastAsia"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中国检验认证（集团）有限公司</w:t>
      </w:r>
    </w:p>
    <w:p>
      <w:pPr>
        <w:spacing w:line="600" w:lineRule="exact"/>
        <w:ind w:firstLine="1276" w:firstLineChars="399"/>
        <w:rPr>
          <w:rFonts w:hint="eastAsia" w:ascii="仿宋_GB2312" w:hAnsi="仿宋" w:eastAsia="仿宋_GB2312" w:cs="宋体"/>
          <w:color w:val="000000"/>
          <w:spacing w:val="0"/>
          <w:kern w:val="0"/>
          <w:szCs w:val="28"/>
          <w:highlight w:val="none"/>
          <w:lang w:eastAsia="zh-CN"/>
        </w:rPr>
      </w:pP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80.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“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数字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中检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”业务管理模型</w:t>
      </w:r>
    </w:p>
    <w:p>
      <w:pPr>
        <w:spacing w:line="600" w:lineRule="exact"/>
        <w:ind w:firstLine="636" w:firstLineChars="199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中国汽车技术研究中心有限公司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81.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“三化融合”管理体系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北京市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82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.北京能源集团宁东公司生产经营测算模型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天津市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83.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天津港集团股权全生命周期数字化管理系统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吉林省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8</w:t>
      </w:r>
      <w:r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  <w:t>4.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吉林省高速公路集团信息化对标提升管理</w:t>
      </w:r>
    </w:p>
    <w:p>
      <w:pPr>
        <w:spacing w:line="600" w:lineRule="exact"/>
        <w:rPr>
          <w:rFonts w:ascii="楷体_GB2312" w:eastAsia="楷体_GB2312"/>
          <w:spacing w:val="0"/>
          <w:highlight w:val="none"/>
        </w:rPr>
      </w:pPr>
      <w:r>
        <w:rPr>
          <w:rFonts w:hint="eastAsia" w:ascii="楷体_GB2312" w:eastAsia="楷体_GB2312"/>
          <w:spacing w:val="0"/>
          <w:highlight w:val="none"/>
        </w:rPr>
        <w:t>上海市</w:t>
      </w:r>
    </w:p>
    <w:p>
      <w:pPr>
        <w:spacing w:line="600" w:lineRule="exact"/>
        <w:ind w:firstLine="1273" w:firstLineChars="398"/>
        <w:rPr>
          <w:rFonts w:hint="eastAsia" w:ascii="仿宋_GB2312" w:hAnsi="仿宋" w:eastAsia="仿宋_GB2312" w:cs="宋体"/>
          <w:color w:val="000000"/>
          <w:spacing w:val="0"/>
          <w:kern w:val="0"/>
          <w:szCs w:val="28"/>
          <w:lang w:eastAsia="zh-CN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</w:rPr>
        <w:t>8</w:t>
      </w:r>
      <w:r>
        <w:rPr>
          <w:rFonts w:ascii="仿宋_GB2312" w:hAnsi="仿宋" w:cs="宋体"/>
          <w:color w:val="000000"/>
          <w:spacing w:val="0"/>
          <w:kern w:val="0"/>
          <w:szCs w:val="28"/>
        </w:rPr>
        <w:t>5.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</w:rPr>
        <w:t>上海电气集团PES中长期激励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lang w:eastAsia="zh-CN"/>
        </w:rPr>
        <w:t>管理</w:t>
      </w:r>
    </w:p>
    <w:p>
      <w:pPr>
        <w:spacing w:line="600" w:lineRule="exact"/>
        <w:rPr>
          <w:rFonts w:ascii="楷体_GB2312" w:eastAsia="楷体_GB2312"/>
          <w:spacing w:val="0"/>
        </w:rPr>
      </w:pPr>
      <w:r>
        <w:rPr>
          <w:rFonts w:hint="eastAsia" w:ascii="楷体_GB2312" w:eastAsia="楷体_GB2312"/>
          <w:spacing w:val="0"/>
        </w:rPr>
        <w:t>江苏省</w:t>
      </w:r>
    </w:p>
    <w:p>
      <w:pPr>
        <w:spacing w:line="600" w:lineRule="exact"/>
        <w:ind w:firstLine="1273" w:firstLineChars="398"/>
        <w:rPr>
          <w:rFonts w:hint="eastAsia" w:ascii="仿宋_GB2312" w:hAnsi="仿宋" w:cs="宋体"/>
          <w:color w:val="000000"/>
          <w:spacing w:val="0"/>
          <w:kern w:val="0"/>
          <w:szCs w:val="28"/>
        </w:rPr>
      </w:pPr>
      <w:r>
        <w:rPr>
          <w:rFonts w:hint="eastAsia" w:ascii="仿宋_GB2312" w:hAnsi="仿宋" w:eastAsia="宋体" w:cs="宋体"/>
          <w:color w:val="000000"/>
          <w:spacing w:val="0"/>
          <w:kern w:val="0"/>
          <w:szCs w:val="28"/>
          <w:lang w:val="en-US" w:eastAsia="zh-CN"/>
        </w:rPr>
        <w:t>86.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</w:rPr>
        <w:t>徐工集团工程机械有限公司基于战略的“315”</w:t>
      </w:r>
    </w:p>
    <w:p>
      <w:pPr>
        <w:numPr>
          <w:ilvl w:val="0"/>
          <w:numId w:val="0"/>
        </w:numPr>
        <w:spacing w:line="600" w:lineRule="exact"/>
        <w:ind w:firstLine="0" w:firstLineChars="0"/>
        <w:rPr>
          <w:rFonts w:ascii="仿宋_GB2312" w:hAnsi="仿宋" w:cs="宋体"/>
          <w:color w:val="000000"/>
          <w:spacing w:val="0"/>
          <w:kern w:val="0"/>
          <w:szCs w:val="28"/>
        </w:rPr>
      </w:pPr>
      <w:r>
        <w:rPr>
          <w:rFonts w:hint="eastAsia" w:ascii="仿宋_GB2312" w:hAnsi="仿宋" w:eastAsia="宋体" w:cs="宋体"/>
          <w:color w:val="000000"/>
          <w:spacing w:val="0"/>
          <w:kern w:val="0"/>
          <w:szCs w:val="28"/>
          <w:highlight w:val="none"/>
          <w:lang w:eastAsia="zh-CN"/>
        </w:rPr>
        <w:t>　　　　　</w:t>
      </w:r>
      <w:r>
        <w:rPr>
          <w:rFonts w:hint="eastAsia" w:ascii="仿宋_GB2312" w:hAnsi="仿宋" w:eastAsia="宋体" w:cs="宋体"/>
          <w:color w:val="000000"/>
          <w:spacing w:val="0"/>
          <w:kern w:val="0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全面预算管理</w:t>
      </w:r>
    </w:p>
    <w:p>
      <w:pPr>
        <w:spacing w:line="600" w:lineRule="exact"/>
        <w:ind w:firstLine="640" w:firstLineChars="200"/>
        <w:rPr>
          <w:rFonts w:ascii="仿宋_GB2312" w:hAnsi="仿宋" w:cs="宋体"/>
          <w:color w:val="000000"/>
          <w:spacing w:val="0"/>
          <w:kern w:val="0"/>
          <w:szCs w:val="28"/>
        </w:rPr>
      </w:pPr>
      <w:r>
        <w:rPr>
          <w:rFonts w:hint="eastAsia" w:ascii="楷体_GB2312" w:eastAsia="楷体_GB2312"/>
          <w:spacing w:val="0"/>
        </w:rPr>
        <w:t>浙江省</w:t>
      </w:r>
    </w:p>
    <w:p>
      <w:pPr>
        <w:spacing w:line="600" w:lineRule="exact"/>
        <w:ind w:firstLine="1273" w:firstLineChars="398"/>
        <w:rPr>
          <w:rFonts w:hint="eastAsia" w:ascii="仿宋_GB2312" w:hAnsi="仿宋" w:eastAsia="仿宋_GB2312" w:cs="宋体"/>
          <w:color w:val="000000"/>
          <w:spacing w:val="0"/>
          <w:kern w:val="0"/>
          <w:szCs w:val="28"/>
          <w:lang w:eastAsia="zh-CN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</w:rPr>
        <w:t>8</w:t>
      </w:r>
      <w:r>
        <w:rPr>
          <w:rFonts w:ascii="仿宋_GB2312" w:hAnsi="仿宋" w:cs="宋体"/>
          <w:color w:val="000000"/>
          <w:spacing w:val="0"/>
          <w:kern w:val="0"/>
          <w:szCs w:val="28"/>
        </w:rPr>
        <w:t>7.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</w:rPr>
        <w:t>浙江省国有资本运营有限公司财务标准化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lang w:eastAsia="zh-CN"/>
        </w:rPr>
        <w:t>管理</w:t>
      </w:r>
    </w:p>
    <w:p>
      <w:pPr>
        <w:spacing w:line="600" w:lineRule="exact"/>
        <w:rPr>
          <w:rFonts w:ascii="楷体_GB2312" w:eastAsia="楷体_GB2312"/>
          <w:spacing w:val="0"/>
        </w:rPr>
      </w:pPr>
      <w:r>
        <w:rPr>
          <w:rFonts w:hint="eastAsia" w:ascii="楷体_GB2312" w:eastAsia="楷体_GB2312"/>
          <w:spacing w:val="0"/>
        </w:rPr>
        <w:t>安徽省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</w:rPr>
      </w:pPr>
      <w:r>
        <w:rPr>
          <w:rFonts w:ascii="仿宋_GB2312" w:hAnsi="仿宋" w:cs="宋体"/>
          <w:color w:val="000000"/>
          <w:spacing w:val="0"/>
          <w:kern w:val="0"/>
          <w:szCs w:val="28"/>
        </w:rPr>
        <w:t>88.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</w:rPr>
        <w:t>江汽集团基于两化融合管理体系的数字化转型</w:t>
      </w:r>
    </w:p>
    <w:p>
      <w:pPr>
        <w:spacing w:line="600" w:lineRule="exact"/>
        <w:rPr>
          <w:rFonts w:ascii="楷体_GB2312" w:eastAsia="楷体_GB2312"/>
          <w:spacing w:val="0"/>
        </w:rPr>
      </w:pPr>
      <w:r>
        <w:rPr>
          <w:rFonts w:hint="eastAsia" w:ascii="楷体_GB2312" w:eastAsia="楷体_GB2312"/>
          <w:spacing w:val="0"/>
        </w:rPr>
        <w:t>福建省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</w:rPr>
      </w:pPr>
      <w:r>
        <w:rPr>
          <w:rFonts w:ascii="仿宋_GB2312" w:hAnsi="仿宋" w:cs="宋体"/>
          <w:color w:val="000000"/>
          <w:spacing w:val="0"/>
          <w:kern w:val="0"/>
          <w:szCs w:val="28"/>
        </w:rPr>
        <w:t>89.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</w:rPr>
        <w:t>福建省港口集团“大法务”管理</w:t>
      </w:r>
    </w:p>
    <w:p>
      <w:pPr>
        <w:spacing w:line="600" w:lineRule="exact"/>
        <w:rPr>
          <w:rFonts w:ascii="楷体_GB2312" w:eastAsia="楷体_GB2312"/>
          <w:spacing w:val="0"/>
        </w:rPr>
      </w:pPr>
      <w:r>
        <w:rPr>
          <w:rFonts w:hint="eastAsia" w:ascii="楷体_GB2312" w:eastAsia="楷体_GB2312"/>
          <w:spacing w:val="0"/>
        </w:rPr>
        <w:t>江西省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</w:rPr>
      </w:pPr>
      <w:r>
        <w:rPr>
          <w:rFonts w:ascii="仿宋_GB2312" w:hAnsi="仿宋" w:cs="宋体"/>
          <w:color w:val="000000"/>
          <w:spacing w:val="0"/>
          <w:kern w:val="0"/>
          <w:szCs w:val="28"/>
        </w:rPr>
        <w:t>90.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</w:rPr>
        <w:t>新余钢铁集团信息化智能化系统</w:t>
      </w:r>
    </w:p>
    <w:p>
      <w:pPr>
        <w:spacing w:line="600" w:lineRule="exact"/>
        <w:rPr>
          <w:rFonts w:ascii="楷体_GB2312" w:eastAsia="楷体_GB2312"/>
          <w:spacing w:val="0"/>
        </w:rPr>
      </w:pPr>
      <w:r>
        <w:rPr>
          <w:rFonts w:hint="eastAsia" w:ascii="楷体_GB2312" w:eastAsia="楷体_GB2312"/>
          <w:spacing w:val="0"/>
        </w:rPr>
        <w:t>山东省</w:t>
      </w:r>
    </w:p>
    <w:p>
      <w:pPr>
        <w:spacing w:line="600" w:lineRule="exact"/>
        <w:ind w:firstLine="1273" w:firstLineChars="398"/>
        <w:rPr>
          <w:rFonts w:hint="eastAsia" w:ascii="仿宋_GB2312" w:hAnsi="仿宋" w:eastAsia="仿宋_GB2312" w:cs="宋体"/>
          <w:color w:val="000000"/>
          <w:spacing w:val="0"/>
          <w:kern w:val="0"/>
          <w:szCs w:val="28"/>
          <w:lang w:eastAsia="zh-CN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</w:rPr>
        <w:t>9</w:t>
      </w:r>
      <w:r>
        <w:rPr>
          <w:rFonts w:ascii="仿宋_GB2312" w:hAnsi="仿宋" w:cs="宋体"/>
          <w:color w:val="000000"/>
          <w:spacing w:val="0"/>
          <w:kern w:val="0"/>
          <w:szCs w:val="28"/>
        </w:rPr>
        <w:t>1.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</w:rPr>
        <w:t>中泰证券股份有限公司数字化转型与流程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lang w:eastAsia="zh-CN"/>
        </w:rPr>
        <w:t>管理</w:t>
      </w:r>
    </w:p>
    <w:p>
      <w:pPr>
        <w:spacing w:line="600" w:lineRule="exact"/>
        <w:rPr>
          <w:rFonts w:ascii="楷体_GB2312" w:eastAsia="楷体_GB2312"/>
          <w:spacing w:val="0"/>
        </w:rPr>
      </w:pPr>
      <w:r>
        <w:rPr>
          <w:rFonts w:hint="eastAsia" w:ascii="楷体_GB2312" w:eastAsia="楷体_GB2312"/>
          <w:spacing w:val="0"/>
        </w:rPr>
        <w:t>河南省</w:t>
      </w:r>
    </w:p>
    <w:p>
      <w:pPr>
        <w:spacing w:line="600" w:lineRule="exact"/>
        <w:ind w:firstLine="1273" w:firstLineChars="398"/>
        <w:rPr>
          <w:rFonts w:hint="eastAsia" w:ascii="仿宋_GB2312" w:hAnsi="仿宋" w:eastAsia="仿宋_GB2312" w:cs="宋体"/>
          <w:color w:val="000000"/>
          <w:spacing w:val="0"/>
          <w:kern w:val="0"/>
          <w:szCs w:val="28"/>
          <w:lang w:eastAsia="zh-CN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</w:rPr>
        <w:t>9</w:t>
      </w:r>
      <w:r>
        <w:rPr>
          <w:rFonts w:ascii="仿宋_GB2312" w:hAnsi="仿宋" w:cs="宋体"/>
          <w:color w:val="000000"/>
          <w:spacing w:val="0"/>
          <w:kern w:val="0"/>
          <w:szCs w:val="28"/>
        </w:rPr>
        <w:t>2.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</w:rPr>
        <w:t>河南投资集团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lang w:eastAsia="zh-CN"/>
        </w:rPr>
        <w:t>数字化智能化管理</w:t>
      </w:r>
    </w:p>
    <w:p>
      <w:pPr>
        <w:spacing w:line="600" w:lineRule="exact"/>
        <w:rPr>
          <w:rFonts w:ascii="楷体_GB2312" w:eastAsia="楷体_GB2312"/>
          <w:spacing w:val="0"/>
        </w:rPr>
      </w:pPr>
      <w:r>
        <w:rPr>
          <w:rFonts w:hint="eastAsia" w:ascii="楷体_GB2312" w:eastAsia="楷体_GB2312"/>
          <w:spacing w:val="0"/>
        </w:rPr>
        <w:t>广东省</w:t>
      </w:r>
    </w:p>
    <w:p>
      <w:pPr>
        <w:spacing w:line="600" w:lineRule="exact"/>
        <w:ind w:firstLine="1273" w:firstLineChars="398"/>
        <w:rPr>
          <w:rFonts w:ascii="仿宋_GB2312" w:hAnsi="仿宋" w:cs="宋体"/>
          <w:color w:val="000000"/>
          <w:spacing w:val="0"/>
          <w:kern w:val="0"/>
          <w:szCs w:val="28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</w:rPr>
        <w:t>9</w:t>
      </w:r>
      <w:r>
        <w:rPr>
          <w:rFonts w:ascii="仿宋_GB2312" w:hAnsi="仿宋" w:cs="宋体"/>
          <w:color w:val="000000"/>
          <w:spacing w:val="0"/>
          <w:kern w:val="0"/>
          <w:szCs w:val="28"/>
        </w:rPr>
        <w:t>3.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</w:rPr>
        <w:t>广汽集团数字化转型（G计划）</w:t>
      </w:r>
    </w:p>
    <w:p>
      <w:pPr>
        <w:spacing w:line="600" w:lineRule="exact"/>
        <w:rPr>
          <w:rFonts w:ascii="楷体_GB2312" w:eastAsia="楷体_GB2312"/>
          <w:spacing w:val="0"/>
        </w:rPr>
      </w:pPr>
      <w:r>
        <w:rPr>
          <w:rFonts w:hint="eastAsia" w:ascii="楷体_GB2312" w:eastAsia="楷体_GB2312"/>
          <w:spacing w:val="0"/>
        </w:rPr>
        <w:t>广西省</w:t>
      </w:r>
    </w:p>
    <w:p>
      <w:pPr>
        <w:spacing w:line="600" w:lineRule="exact"/>
        <w:ind w:firstLine="1273" w:firstLineChars="398"/>
        <w:rPr>
          <w:rFonts w:hint="eastAsia" w:ascii="仿宋_GB2312" w:hAnsi="仿宋" w:eastAsia="仿宋_GB2312" w:cs="宋体"/>
          <w:color w:val="000000"/>
          <w:spacing w:val="0"/>
          <w:kern w:val="0"/>
          <w:szCs w:val="28"/>
          <w:lang w:eastAsia="zh-CN"/>
        </w:rPr>
      </w:pPr>
      <w:r>
        <w:rPr>
          <w:rFonts w:hint="eastAsia" w:ascii="仿宋_GB2312" w:hAnsi="仿宋" w:cs="宋体"/>
          <w:color w:val="000000"/>
          <w:spacing w:val="0"/>
          <w:kern w:val="0"/>
          <w:szCs w:val="28"/>
        </w:rPr>
        <w:t>9</w:t>
      </w:r>
      <w:r>
        <w:rPr>
          <w:rFonts w:ascii="仿宋_GB2312" w:hAnsi="仿宋" w:cs="宋体"/>
          <w:color w:val="000000"/>
          <w:spacing w:val="0"/>
          <w:kern w:val="0"/>
          <w:szCs w:val="28"/>
        </w:rPr>
        <w:t>4.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</w:rPr>
        <w:t>广西柳州钢铁集团柳钢一体化ERP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lang w:eastAsia="zh-CN"/>
        </w:rPr>
        <w:t>系统</w:t>
      </w:r>
    </w:p>
    <w:p>
      <w:pPr>
        <w:spacing w:line="600" w:lineRule="exact"/>
        <w:rPr>
          <w:rFonts w:ascii="仿宋_GB2312" w:hAnsi="仿宋" w:cs="宋体"/>
          <w:color w:val="000000"/>
          <w:spacing w:val="0"/>
          <w:kern w:val="0"/>
          <w:szCs w:val="28"/>
        </w:rPr>
      </w:pPr>
      <w:r>
        <w:rPr>
          <w:rFonts w:hint="eastAsia" w:ascii="楷体_GB2312" w:eastAsia="楷体_GB2312"/>
          <w:spacing w:val="0"/>
        </w:rPr>
        <w:t>重庆市</w:t>
      </w:r>
    </w:p>
    <w:p>
      <w:pPr>
        <w:spacing w:line="600" w:lineRule="exact"/>
        <w:ind w:firstLine="1273" w:firstLineChars="398"/>
        <w:rPr>
          <w:rFonts w:hint="eastAsia" w:ascii="仿宋_GB2312" w:hAnsi="仿宋" w:cs="宋体"/>
          <w:color w:val="000000"/>
          <w:spacing w:val="0"/>
          <w:kern w:val="0"/>
          <w:szCs w:val="28"/>
        </w:rPr>
      </w:pPr>
      <w:r>
        <w:rPr>
          <w:rFonts w:hint="eastAsia" w:ascii="仿宋_GB2312" w:hAnsi="仿宋" w:eastAsia="宋体" w:cs="宋体"/>
          <w:color w:val="000000"/>
          <w:spacing w:val="0"/>
          <w:kern w:val="0"/>
          <w:szCs w:val="28"/>
          <w:lang w:val="en-US" w:eastAsia="zh-CN"/>
        </w:rPr>
        <w:t>95.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</w:rPr>
        <w:t>重庆农村商业银行股份有限公司面向感知认知</w:t>
      </w:r>
    </w:p>
    <w:p>
      <w:pPr>
        <w:numPr>
          <w:ilvl w:val="0"/>
          <w:numId w:val="0"/>
        </w:numPr>
        <w:spacing w:line="600" w:lineRule="exact"/>
        <w:ind w:firstLine="0" w:firstLineChars="0"/>
        <w:rPr>
          <w:rFonts w:hint="eastAsia" w:ascii="仿宋_GB2312" w:hAnsi="仿宋" w:eastAsia="仿宋_GB2312" w:cs="宋体"/>
          <w:color w:val="000000"/>
          <w:spacing w:val="0"/>
          <w:kern w:val="0"/>
          <w:szCs w:val="28"/>
          <w:highlight w:val="none"/>
          <w:lang w:eastAsia="zh-CN"/>
        </w:rPr>
      </w:pPr>
      <w:r>
        <w:rPr>
          <w:rFonts w:hint="eastAsia" w:ascii="仿宋_GB2312" w:hAnsi="仿宋" w:eastAsia="宋体" w:cs="宋体"/>
          <w:color w:val="000000"/>
          <w:spacing w:val="0"/>
          <w:kern w:val="0"/>
          <w:szCs w:val="28"/>
          <w:highlight w:val="none"/>
          <w:lang w:eastAsia="zh-CN"/>
        </w:rPr>
        <w:t>　　　　　</w:t>
      </w:r>
      <w:r>
        <w:rPr>
          <w:rFonts w:hint="eastAsia" w:ascii="仿宋_GB2312" w:hAnsi="仿宋" w:eastAsia="宋体" w:cs="宋体"/>
          <w:color w:val="000000"/>
          <w:spacing w:val="0"/>
          <w:kern w:val="0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能力的银行数字化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管理</w:t>
      </w:r>
    </w:p>
    <w:p>
      <w:pPr>
        <w:spacing w:line="600" w:lineRule="exact"/>
        <w:rPr>
          <w:rFonts w:ascii="楷体_GB2312" w:eastAsia="楷体_GB2312"/>
          <w:spacing w:val="0"/>
        </w:rPr>
      </w:pPr>
      <w:r>
        <w:rPr>
          <w:rFonts w:hint="eastAsia" w:ascii="楷体_GB2312" w:eastAsia="楷体_GB2312"/>
          <w:spacing w:val="0"/>
        </w:rPr>
        <w:t>四川省</w:t>
      </w:r>
    </w:p>
    <w:p>
      <w:pPr>
        <w:spacing w:line="600" w:lineRule="exact"/>
        <w:ind w:firstLine="1273" w:firstLineChars="398"/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</w:pPr>
      <w:r>
        <w:rPr>
          <w:rFonts w:hint="eastAsia" w:ascii="仿宋_GB2312" w:hAnsi="仿宋" w:eastAsia="宋体" w:cs="宋体"/>
          <w:color w:val="000000"/>
          <w:spacing w:val="0"/>
          <w:kern w:val="0"/>
          <w:szCs w:val="28"/>
          <w:highlight w:val="none"/>
          <w:lang w:val="en-US" w:eastAsia="zh-CN"/>
        </w:rPr>
        <w:t>96.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四川发展（控股）有限责任公司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以制度体系重</w:t>
      </w:r>
    </w:p>
    <w:p>
      <w:pPr>
        <w:numPr>
          <w:ilvl w:val="0"/>
          <w:numId w:val="0"/>
        </w:numPr>
        <w:spacing w:line="600" w:lineRule="exact"/>
        <w:ind w:firstLine="0" w:firstLineChars="0"/>
        <w:rPr>
          <w:rFonts w:ascii="仿宋_GB2312" w:hAnsi="仿宋" w:cs="宋体"/>
          <w:color w:val="000000"/>
          <w:spacing w:val="0"/>
          <w:kern w:val="0"/>
          <w:szCs w:val="28"/>
          <w:highlight w:val="none"/>
        </w:rPr>
      </w:pPr>
      <w:r>
        <w:rPr>
          <w:rFonts w:hint="eastAsia" w:ascii="仿宋_GB2312" w:hAnsi="仿宋" w:eastAsia="宋体" w:cs="宋体"/>
          <w:color w:val="000000"/>
          <w:spacing w:val="0"/>
          <w:kern w:val="0"/>
          <w:szCs w:val="28"/>
          <w:highlight w:val="none"/>
          <w:lang w:eastAsia="zh-CN"/>
        </w:rPr>
        <w:t>　　　　　</w:t>
      </w:r>
      <w:r>
        <w:rPr>
          <w:rFonts w:hint="eastAsia" w:ascii="仿宋_GB2312" w:hAnsi="仿宋" w:eastAsia="宋体" w:cs="宋体"/>
          <w:color w:val="000000"/>
          <w:spacing w:val="0"/>
          <w:kern w:val="0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构为基础的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</w:rPr>
        <w:t>集团管控</w:t>
      </w:r>
    </w:p>
    <w:p>
      <w:pPr>
        <w:spacing w:line="600" w:lineRule="exact"/>
        <w:ind w:firstLine="1273" w:firstLineChars="398"/>
        <w:rPr>
          <w:rFonts w:hint="eastAsia" w:ascii="仿宋_GB2312" w:hAnsi="仿宋" w:cs="宋体"/>
          <w:color w:val="000000"/>
          <w:spacing w:val="0"/>
          <w:kern w:val="0"/>
          <w:szCs w:val="28"/>
          <w:lang w:eastAsia="zh-CN"/>
        </w:rPr>
      </w:pPr>
      <w:r>
        <w:rPr>
          <w:rFonts w:hint="eastAsia" w:ascii="仿宋_GB2312" w:hAnsi="仿宋" w:eastAsia="宋体" w:cs="宋体"/>
          <w:color w:val="000000"/>
          <w:spacing w:val="0"/>
          <w:kern w:val="0"/>
          <w:szCs w:val="28"/>
          <w:lang w:val="en-US" w:eastAsia="zh-CN"/>
        </w:rPr>
        <w:t>97.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</w:rPr>
        <w:t>四川长虹电子控股集团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lang w:eastAsia="zh-CN"/>
        </w:rPr>
        <w:t>以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</w:rPr>
        <w:t>财务云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lang w:eastAsia="zh-CN"/>
        </w:rPr>
        <w:t>为支撑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</w:rPr>
        <w:t>的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lang w:eastAsia="zh-CN"/>
        </w:rPr>
        <w:t>业务</w:t>
      </w:r>
    </w:p>
    <w:p>
      <w:pPr>
        <w:numPr>
          <w:ilvl w:val="0"/>
          <w:numId w:val="0"/>
        </w:numPr>
        <w:spacing w:line="600" w:lineRule="exact"/>
        <w:ind w:firstLine="0" w:firstLineChars="0"/>
        <w:rPr>
          <w:rFonts w:hint="eastAsia" w:ascii="仿宋_GB2312" w:hAnsi="仿宋" w:eastAsia="仿宋_GB2312" w:cs="宋体"/>
          <w:color w:val="000000"/>
          <w:spacing w:val="0"/>
          <w:kern w:val="0"/>
          <w:szCs w:val="28"/>
          <w:lang w:eastAsia="zh-CN"/>
        </w:rPr>
      </w:pPr>
      <w:r>
        <w:rPr>
          <w:rFonts w:hint="eastAsia" w:ascii="仿宋_GB2312" w:hAnsi="仿宋" w:eastAsia="宋体" w:cs="宋体"/>
          <w:color w:val="000000"/>
          <w:spacing w:val="0"/>
          <w:kern w:val="0"/>
          <w:szCs w:val="28"/>
          <w:highlight w:val="none"/>
          <w:lang w:eastAsia="zh-CN"/>
        </w:rPr>
        <w:t>　　　　　</w:t>
      </w:r>
      <w:r>
        <w:rPr>
          <w:rFonts w:hint="eastAsia" w:ascii="仿宋_GB2312" w:hAnsi="仿宋" w:eastAsia="宋体" w:cs="宋体"/>
          <w:color w:val="000000"/>
          <w:spacing w:val="0"/>
          <w:kern w:val="0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highlight w:val="none"/>
          <w:lang w:eastAsia="zh-CN"/>
        </w:rPr>
        <w:t>管理</w:t>
      </w:r>
    </w:p>
    <w:p>
      <w:pPr>
        <w:spacing w:line="600" w:lineRule="exact"/>
        <w:rPr>
          <w:rFonts w:ascii="楷体_GB2312" w:eastAsia="楷体_GB2312"/>
          <w:spacing w:val="0"/>
        </w:rPr>
      </w:pPr>
      <w:r>
        <w:rPr>
          <w:rFonts w:hint="eastAsia" w:ascii="楷体_GB2312" w:eastAsia="楷体_GB2312"/>
          <w:spacing w:val="0"/>
        </w:rPr>
        <w:t>青海省</w:t>
      </w:r>
    </w:p>
    <w:p>
      <w:pPr>
        <w:spacing w:line="600" w:lineRule="exact"/>
        <w:ind w:firstLine="1273" w:firstLineChars="398"/>
        <w:rPr>
          <w:rFonts w:hint="eastAsia" w:ascii="仿宋_GB2312" w:hAnsi="仿宋" w:eastAsia="仿宋_GB2312" w:cs="宋体"/>
          <w:color w:val="000000"/>
          <w:spacing w:val="0"/>
          <w:kern w:val="0"/>
          <w:szCs w:val="28"/>
          <w:lang w:eastAsia="zh-CN"/>
        </w:rPr>
      </w:pPr>
      <w:r>
        <w:rPr>
          <w:rFonts w:ascii="仿宋_GB2312" w:hAnsi="仿宋" w:cs="宋体"/>
          <w:color w:val="000000"/>
          <w:spacing w:val="0"/>
          <w:kern w:val="0"/>
          <w:szCs w:val="28"/>
        </w:rPr>
        <w:t>98.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</w:rPr>
        <w:t>西部矿业集团锡铁山分公司“绿色矿山”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lang w:eastAsia="zh-CN"/>
        </w:rPr>
        <w:t>管理</w:t>
      </w:r>
    </w:p>
    <w:p>
      <w:pPr>
        <w:spacing w:line="600" w:lineRule="exact"/>
        <w:rPr>
          <w:rFonts w:ascii="楷体_GB2312" w:eastAsia="楷体_GB2312"/>
          <w:spacing w:val="0"/>
        </w:rPr>
      </w:pPr>
      <w:r>
        <w:rPr>
          <w:rFonts w:hint="eastAsia" w:ascii="楷体_GB2312" w:eastAsia="楷体_GB2312"/>
          <w:spacing w:val="0"/>
        </w:rPr>
        <w:t>宁波市</w:t>
      </w:r>
    </w:p>
    <w:p>
      <w:pPr>
        <w:spacing w:line="600" w:lineRule="exact"/>
        <w:ind w:firstLine="1273" w:firstLineChars="398"/>
        <w:rPr>
          <w:rFonts w:hint="eastAsia" w:ascii="仿宋_GB2312" w:hAnsi="仿宋" w:eastAsia="仿宋_GB2312" w:cs="宋体"/>
          <w:color w:val="000000"/>
          <w:spacing w:val="0"/>
          <w:kern w:val="0"/>
          <w:szCs w:val="28"/>
          <w:lang w:eastAsia="zh-CN"/>
        </w:rPr>
      </w:pPr>
      <w:r>
        <w:rPr>
          <w:rFonts w:ascii="仿宋_GB2312" w:hAnsi="仿宋" w:cs="宋体"/>
          <w:color w:val="000000"/>
          <w:spacing w:val="0"/>
          <w:kern w:val="0"/>
          <w:szCs w:val="28"/>
        </w:rPr>
        <w:t>99.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</w:rPr>
        <w:t>宁波轨道交通集团信息安全</w:t>
      </w:r>
      <w:r>
        <w:rPr>
          <w:rFonts w:hint="eastAsia" w:ascii="仿宋_GB2312" w:hAnsi="仿宋" w:cs="宋体"/>
          <w:color w:val="000000"/>
          <w:spacing w:val="0"/>
          <w:kern w:val="0"/>
          <w:szCs w:val="28"/>
          <w:lang w:eastAsia="zh-CN"/>
        </w:rPr>
        <w:t>管理</w:t>
      </w:r>
    </w:p>
    <w:p>
      <w:pPr>
        <w:spacing w:line="600" w:lineRule="exact"/>
        <w:rPr>
          <w:rFonts w:ascii="楷体_GB2312" w:eastAsia="楷体_GB2312"/>
          <w:spacing w:val="0"/>
        </w:rPr>
      </w:pPr>
      <w:r>
        <w:rPr>
          <w:rFonts w:hint="eastAsia" w:ascii="楷体_GB2312" w:eastAsia="楷体_GB2312"/>
          <w:spacing w:val="0"/>
        </w:rPr>
        <w:t>深圳市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0" w:leftChars="0" w:firstLine="1280" w:firstLineChars="400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28"/>
          <w:lang w:val="en-US" w:eastAsia="zh-CN" w:bidi="ar"/>
        </w:rPr>
      </w:pPr>
      <w:r>
        <w:rPr>
          <w:rFonts w:hint="default" w:ascii="仿宋_GB2312" w:hAnsi="仿宋" w:eastAsia="宋体" w:cs="宋体"/>
          <w:color w:val="000000"/>
          <w:spacing w:val="0"/>
          <w:kern w:val="0"/>
          <w:szCs w:val="28"/>
          <w:lang w:val="en" w:eastAsia="zh-CN"/>
        </w:rPr>
        <w:t>100.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28"/>
          <w:lang w:val="en-US" w:eastAsia="zh-CN" w:bidi="ar"/>
        </w:rPr>
        <w:t>深圳市城市交通规划设计研究中心城市交通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0" w:leftChars="0" w:firstLine="1920" w:firstLineChars="600"/>
        <w:jc w:val="left"/>
        <w:rPr>
          <w:rFonts w:hint="eastAsia"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28"/>
          <w:lang w:val="en-US" w:eastAsia="zh-CN" w:bidi="ar"/>
        </w:rPr>
        <w:t>整体解决方案</w:t>
      </w:r>
    </w:p>
    <w:p>
      <w:pPr>
        <w:widowControl/>
        <w:spacing w:line="600" w:lineRule="exact"/>
        <w:ind w:firstLine="0" w:firstLineChars="0"/>
        <w:jc w:val="left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br w:type="page"/>
      </w:r>
    </w:p>
    <w:p>
      <w:pPr>
        <w:spacing w:line="600" w:lineRule="exact"/>
        <w:ind w:firstLine="0" w:firstLineChars="0"/>
        <w:outlineLvl w:val="1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三</w:t>
      </w:r>
      <w:r>
        <w:rPr>
          <w:rFonts w:ascii="黑体" w:hAnsi="黑体" w:eastAsia="黑体"/>
        </w:rPr>
        <w:t>、标杆</w:t>
      </w:r>
      <w:r>
        <w:rPr>
          <w:rFonts w:hint="eastAsia" w:ascii="黑体" w:hAnsi="黑体" w:eastAsia="黑体"/>
        </w:rPr>
        <w:t>模式</w:t>
      </w:r>
    </w:p>
    <w:p>
      <w:pPr>
        <w:spacing w:line="600" w:lineRule="exact"/>
        <w:ind w:firstLine="707" w:firstLineChars="221"/>
        <w:outlineLvl w:val="1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中国宝武钢铁集团有限公司</w:t>
      </w:r>
    </w:p>
    <w:p>
      <w:pPr>
        <w:spacing w:line="600" w:lineRule="exact"/>
        <w:ind w:firstLine="1347" w:firstLineChars="421"/>
        <w:outlineLvl w:val="1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1.</w:t>
      </w:r>
      <w:r>
        <w:rPr>
          <w:rFonts w:hint="eastAsia" w:ascii="仿宋_GB2312" w:hAnsi="仿宋" w:cs="宋体"/>
          <w:color w:val="000000"/>
          <w:kern w:val="0"/>
          <w:szCs w:val="28"/>
        </w:rPr>
        <w:t>企业整合</w:t>
      </w:r>
      <w:bookmarkStart w:id="0" w:name="_GoBack"/>
      <w:bookmarkEnd w:id="0"/>
      <w:r>
        <w:rPr>
          <w:rFonts w:hint="eastAsia" w:ascii="仿宋_GB2312" w:hAnsi="仿宋" w:cs="宋体"/>
          <w:color w:val="000000"/>
          <w:kern w:val="0"/>
          <w:szCs w:val="28"/>
        </w:rPr>
        <w:t>融合管理模式</w:t>
      </w:r>
    </w:p>
    <w:p>
      <w:pPr>
        <w:spacing w:line="600" w:lineRule="exact"/>
        <w:ind w:firstLine="707" w:firstLineChars="221"/>
        <w:outlineLvl w:val="1"/>
        <w:rPr>
          <w:rFonts w:ascii="楷体_GB2312" w:eastAsia="楷体_GB2312"/>
        </w:rPr>
      </w:pPr>
      <w:r>
        <w:rPr>
          <w:rFonts w:hint="eastAsia" w:ascii="楷体_GB2312" w:eastAsia="楷体_GB2312"/>
        </w:rPr>
        <w:t>华润（集团）有限公司</w:t>
      </w:r>
    </w:p>
    <w:p>
      <w:pPr>
        <w:spacing w:line="600" w:lineRule="exact"/>
        <w:ind w:firstLine="1347" w:firstLineChars="421"/>
        <w:outlineLvl w:val="1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2.</w:t>
      </w:r>
      <w:r>
        <w:rPr>
          <w:rFonts w:hint="eastAsia" w:ascii="仿宋_GB2312" w:hAnsi="仿宋" w:cs="宋体"/>
          <w:color w:val="000000"/>
          <w:kern w:val="0"/>
          <w:szCs w:val="28"/>
        </w:rPr>
        <w:t>世界一流战略导向管理模式</w:t>
      </w:r>
    </w:p>
    <w:p>
      <w:pPr>
        <w:spacing w:line="600" w:lineRule="exact"/>
        <w:ind w:firstLine="707" w:firstLineChars="221"/>
        <w:outlineLvl w:val="1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中国华能集团有限公司</w:t>
      </w:r>
    </w:p>
    <w:p>
      <w:pPr>
        <w:spacing w:line="600" w:lineRule="exact"/>
        <w:ind w:firstLine="1347" w:firstLineChars="421"/>
        <w:outlineLvl w:val="1"/>
        <w:rPr>
          <w:rFonts w:ascii="仿宋_GB2312" w:hAnsi="仿宋" w:cs="宋体"/>
          <w:color w:val="000000"/>
          <w:kern w:val="0"/>
          <w:szCs w:val="28"/>
        </w:rPr>
      </w:pPr>
      <w:r>
        <w:rPr>
          <w:rFonts w:hint="eastAsia" w:ascii="仿宋_GB2312" w:hAnsi="仿宋" w:cs="宋体"/>
          <w:color w:val="000000"/>
          <w:kern w:val="0"/>
          <w:szCs w:val="28"/>
        </w:rPr>
        <w:t>3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kern w:val="0"/>
          <w:szCs w:val="28"/>
        </w:rPr>
        <w:t>“五步三化”精智管理模式</w:t>
      </w:r>
    </w:p>
    <w:p>
      <w:pPr>
        <w:spacing w:line="600" w:lineRule="exact"/>
        <w:ind w:firstLine="707" w:firstLineChars="221"/>
        <w:outlineLvl w:val="1"/>
        <w:rPr>
          <w:rFonts w:ascii="楷体_GB2312" w:eastAsia="楷体_GB2312"/>
        </w:rPr>
      </w:pPr>
      <w:r>
        <w:rPr>
          <w:rFonts w:hint="eastAsia" w:ascii="楷体_GB2312" w:eastAsia="楷体_GB2312"/>
        </w:rPr>
        <w:t>国家电网有限公司</w:t>
      </w:r>
    </w:p>
    <w:p>
      <w:pPr>
        <w:spacing w:line="600" w:lineRule="exact"/>
        <w:ind w:firstLine="1347" w:firstLineChars="421"/>
        <w:outlineLvl w:val="1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4</w:t>
      </w:r>
      <w:r>
        <w:rPr>
          <w:rFonts w:hint="eastAsia" w:ascii="仿宋_GB2312" w:hAnsi="仿宋" w:cs="宋体"/>
          <w:color w:val="000000"/>
          <w:kern w:val="0"/>
          <w:szCs w:val="28"/>
        </w:rPr>
        <w:t>.集团化、专业化、标准化、数字化管理模式</w:t>
      </w:r>
    </w:p>
    <w:p>
      <w:pPr>
        <w:spacing w:line="600" w:lineRule="exact"/>
        <w:ind w:firstLine="707" w:firstLineChars="221"/>
        <w:outlineLvl w:val="1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中国核工业集团有限公司</w:t>
      </w:r>
    </w:p>
    <w:p>
      <w:pPr>
        <w:spacing w:line="600" w:lineRule="exact"/>
        <w:ind w:firstLine="1347" w:firstLineChars="421"/>
        <w:outlineLvl w:val="1"/>
        <w:rPr>
          <w:rFonts w:ascii="仿宋_GB2312" w:hAnsi="仿宋" w:cs="宋体"/>
          <w:color w:val="000000"/>
          <w:spacing w:val="-2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5</w:t>
      </w:r>
      <w:r>
        <w:rPr>
          <w:rFonts w:hint="eastAsia" w:ascii="仿宋_GB2312" w:hAnsi="仿宋" w:cs="宋体"/>
          <w:color w:val="000000"/>
          <w:kern w:val="0"/>
          <w:szCs w:val="28"/>
        </w:rPr>
        <w:t>.</w:t>
      </w:r>
      <w:r>
        <w:rPr>
          <w:rFonts w:hint="eastAsia" w:ascii="仿宋_GB2312" w:hAnsi="仿宋" w:cs="宋体"/>
          <w:color w:val="000000"/>
          <w:spacing w:val="-20"/>
          <w:kern w:val="0"/>
          <w:szCs w:val="28"/>
        </w:rPr>
        <w:t>“六大控制七个零”高质量精细化工程项目管理模式</w:t>
      </w:r>
    </w:p>
    <w:p>
      <w:pPr>
        <w:spacing w:line="600" w:lineRule="exact"/>
        <w:ind w:firstLine="707" w:firstLineChars="221"/>
        <w:outlineLvl w:val="1"/>
        <w:rPr>
          <w:rFonts w:ascii="楷体_GB2312" w:eastAsia="楷体_GB2312"/>
        </w:rPr>
      </w:pPr>
      <w:r>
        <w:rPr>
          <w:rFonts w:hint="eastAsia" w:ascii="楷体_GB2312" w:eastAsia="楷体_GB2312"/>
        </w:rPr>
        <w:t>山东省</w:t>
      </w:r>
    </w:p>
    <w:p>
      <w:pPr>
        <w:spacing w:line="600" w:lineRule="exact"/>
        <w:ind w:firstLine="1347" w:firstLineChars="421"/>
        <w:outlineLvl w:val="1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6</w:t>
      </w:r>
      <w:r>
        <w:rPr>
          <w:rFonts w:hint="eastAsia" w:ascii="仿宋_GB2312" w:hAnsi="仿宋" w:cs="宋体"/>
          <w:color w:val="000000"/>
          <w:kern w:val="0"/>
          <w:szCs w:val="28"/>
        </w:rPr>
        <w:t>.潍柴控股集团有限公司特色WOS管理模式</w:t>
      </w:r>
    </w:p>
    <w:p>
      <w:pPr>
        <w:spacing w:line="600" w:lineRule="exact"/>
        <w:ind w:firstLine="707" w:firstLineChars="221"/>
        <w:outlineLvl w:val="1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中国中车集团有限公司</w:t>
      </w:r>
    </w:p>
    <w:p>
      <w:pPr>
        <w:spacing w:line="600" w:lineRule="exact"/>
        <w:ind w:firstLine="1347" w:firstLineChars="421"/>
        <w:outlineLvl w:val="1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7.</w:t>
      </w:r>
      <w:r>
        <w:rPr>
          <w:rFonts w:hint="eastAsia" w:ascii="仿宋_GB2312" w:hAnsi="仿宋" w:cs="宋体"/>
          <w:color w:val="000000"/>
          <w:kern w:val="0"/>
          <w:szCs w:val="28"/>
        </w:rPr>
        <w:t>中国高铁装备自主创新管理模式</w:t>
      </w:r>
    </w:p>
    <w:p>
      <w:pPr>
        <w:spacing w:line="600" w:lineRule="exact"/>
        <w:ind w:firstLine="707" w:firstLineChars="221"/>
        <w:outlineLvl w:val="1"/>
        <w:rPr>
          <w:rFonts w:ascii="楷体_GB2312" w:eastAsia="楷体_GB2312"/>
        </w:rPr>
      </w:pPr>
      <w:r>
        <w:rPr>
          <w:rFonts w:hint="eastAsia" w:ascii="楷体_GB2312" w:eastAsia="楷体_GB2312"/>
        </w:rPr>
        <w:t>国家开发投资集团有限公司</w:t>
      </w:r>
    </w:p>
    <w:p>
      <w:pPr>
        <w:spacing w:line="600" w:lineRule="exact"/>
        <w:ind w:firstLine="1347" w:firstLineChars="421"/>
        <w:outlineLvl w:val="1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8.</w:t>
      </w:r>
      <w:r>
        <w:rPr>
          <w:rFonts w:hint="eastAsia" w:ascii="仿宋_GB2312" w:hAnsi="仿宋" w:cs="宋体"/>
          <w:color w:val="000000"/>
          <w:kern w:val="0"/>
          <w:szCs w:val="28"/>
        </w:rPr>
        <w:t>“5M”管控模式</w:t>
      </w:r>
    </w:p>
    <w:p>
      <w:pPr>
        <w:spacing w:line="600" w:lineRule="exact"/>
        <w:ind w:firstLine="707" w:firstLineChars="221"/>
        <w:outlineLvl w:val="1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中国东方航空集团有限公司</w:t>
      </w:r>
    </w:p>
    <w:p>
      <w:pPr>
        <w:spacing w:line="600" w:lineRule="exact"/>
        <w:ind w:firstLine="1347" w:firstLineChars="421"/>
        <w:outlineLvl w:val="1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9.</w:t>
      </w:r>
      <w:r>
        <w:rPr>
          <w:rFonts w:hint="eastAsia" w:ascii="仿宋_GB2312" w:hAnsi="仿宋" w:cs="宋体"/>
          <w:color w:val="000000"/>
          <w:kern w:val="0"/>
          <w:szCs w:val="28"/>
        </w:rPr>
        <w:t>“盘、规、治、用”数据治理模式</w:t>
      </w:r>
    </w:p>
    <w:p>
      <w:pPr>
        <w:spacing w:line="600" w:lineRule="exact"/>
        <w:ind w:firstLine="707" w:firstLineChars="221"/>
        <w:outlineLvl w:val="1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中国联合网络通信集团有限公司</w:t>
      </w:r>
    </w:p>
    <w:p>
      <w:pPr>
        <w:ind w:firstLine="1280" w:firstLineChars="400"/>
      </w:pPr>
      <w:r>
        <w:rPr>
          <w:rFonts w:ascii="仿宋_GB2312" w:hAnsi="仿宋" w:cs="宋体"/>
          <w:color w:val="000000"/>
          <w:kern w:val="0"/>
          <w:szCs w:val="28"/>
        </w:rPr>
        <w:t>10.</w:t>
      </w:r>
      <w:r>
        <w:rPr>
          <w:rFonts w:hint="eastAsia" w:ascii="仿宋_GB2312" w:hAnsi="仿宋" w:cs="宋体"/>
          <w:color w:val="000000"/>
          <w:kern w:val="0"/>
          <w:szCs w:val="28"/>
        </w:rPr>
        <w:t>转型改革一体化管理模式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11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ind w:firstLine="640" w:firstLineChars="20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裤擦里的咯咯哒</cp:lastModifiedBy>
  <dcterms:modified xsi:type="dcterms:W3CDTF">2021-07-30T06:46:08Z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194F367FDA274F3AB1D61184DF581A02</vt:lpwstr>
  </property>
</Properties>
</file>