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344"/>
        <w:gridCol w:w="1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exact"/>
        </w:trPr>
        <w:tc>
          <w:tcPr>
            <w:tcW w:w="13975" w:type="dxa"/>
            <w:gridSpan w:val="3"/>
            <w:tcBorders>
              <w:top w:val="nil"/>
              <w:left w:val="nil"/>
              <w:bottom w:val="single" w:color="auto" w:sz="4" w:space="0"/>
              <w:right w:val="nil"/>
            </w:tcBorders>
            <w:noWrap w:val="0"/>
            <w:vAlign w:val="center"/>
          </w:tcPr>
          <w:p>
            <w:pPr>
              <w:kinsoku/>
              <w:autoSpaceDE/>
              <w:autoSpaceDN w:val="0"/>
              <w:jc w:val="both"/>
              <w:textAlignment w:val="center"/>
              <w:rPr>
                <w:rFonts w:hint="eastAsia" w:ascii="方正黑体_GBK" w:hAnsi="方正黑体_GBK" w:eastAsia="方正黑体_GBK" w:cs="方正黑体_GBK"/>
                <w:b w:val="0"/>
                <w:bCs w:val="0"/>
                <w:i w:val="0"/>
                <w:snapToGrid/>
                <w:color w:val="000000"/>
                <w:sz w:val="32"/>
                <w:szCs w:val="32"/>
                <w:u w:val="none"/>
                <w:lang w:val="en-US" w:eastAsia="zh-CN"/>
              </w:rPr>
            </w:pPr>
            <w:r>
              <w:rPr>
                <w:rFonts w:hint="eastAsia" w:ascii="方正黑体_GBK" w:hAnsi="方正黑体_GBK" w:eastAsia="方正黑体_GBK" w:cs="方正黑体_GBK"/>
                <w:b w:val="0"/>
                <w:bCs w:val="0"/>
                <w:i w:val="0"/>
                <w:snapToGrid/>
                <w:color w:val="000000"/>
                <w:sz w:val="32"/>
                <w:szCs w:val="32"/>
                <w:u w:val="none"/>
                <w:lang w:eastAsia="zh-CN"/>
              </w:rPr>
              <w:t>附件</w:t>
            </w:r>
            <w:r>
              <w:rPr>
                <w:rFonts w:hint="eastAsia" w:ascii="方正黑体_GBK" w:hAnsi="方正黑体_GBK" w:eastAsia="方正黑体_GBK" w:cs="方正黑体_GBK"/>
                <w:b w:val="0"/>
                <w:bCs w:val="0"/>
                <w:i w:val="0"/>
                <w:snapToGrid/>
                <w:color w:val="000000"/>
                <w:sz w:val="32"/>
                <w:szCs w:val="32"/>
                <w:u w:val="none"/>
                <w:lang w:val="en-US" w:eastAsia="zh-CN"/>
              </w:rPr>
              <w:t>1</w:t>
            </w:r>
          </w:p>
          <w:p>
            <w:pPr>
              <w:kinsoku/>
              <w:autoSpaceDE/>
              <w:autoSpaceDN w:val="0"/>
              <w:jc w:val="center"/>
              <w:textAlignment w:val="center"/>
              <w:rPr>
                <w:rFonts w:hint="eastAsia" w:ascii="方正仿宋_GBK" w:hAnsi="方正仿宋_GBK" w:eastAsia="方正仿宋_GBK" w:cs="方正仿宋_GBK"/>
                <w:b/>
                <w:bCs/>
                <w:i w:val="0"/>
                <w:snapToGrid/>
                <w:color w:val="000000"/>
                <w:sz w:val="24"/>
                <w:szCs w:val="16"/>
                <w:u w:val="none"/>
                <w:lang w:eastAsia="zh-CN"/>
              </w:rPr>
            </w:pPr>
            <w:r>
              <w:rPr>
                <w:rFonts w:hint="eastAsia" w:ascii="方正小标宋简体" w:hAnsi="方正小标宋简体" w:eastAsia="方正小标宋简体" w:cs="方正小标宋简体"/>
                <w:b w:val="0"/>
                <w:bCs w:val="0"/>
                <w:i w:val="0"/>
                <w:snapToGrid/>
                <w:color w:val="000000"/>
                <w:sz w:val="32"/>
                <w:szCs w:val="32"/>
                <w:u w:val="none"/>
                <w:lang w:eastAsia="zh-CN"/>
              </w:rPr>
              <w:t>全国未成年人保护示范县（市、区、旗）创建达标体系（试行）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tcBorders>
              <w:top w:val="single" w:color="auto" w:sz="4" w:space="0"/>
            </w:tcBorders>
            <w:noWrap w:val="0"/>
            <w:vAlign w:val="center"/>
          </w:tcPr>
          <w:p>
            <w:pPr>
              <w:kinsoku/>
              <w:autoSpaceDE/>
              <w:autoSpaceDN w:val="0"/>
              <w:jc w:val="center"/>
              <w:textAlignment w:val="center"/>
              <w:rPr>
                <w:rFonts w:hint="eastAsia" w:ascii="方正楷体_GBK" w:hAnsi="方正楷体_GBK" w:eastAsia="方正楷体_GBK" w:cs="方正楷体_GBK"/>
                <w:b/>
                <w:bCs/>
                <w:i w:val="0"/>
                <w:snapToGrid/>
                <w:color w:val="000000"/>
                <w:kern w:val="2"/>
                <w:sz w:val="24"/>
                <w:szCs w:val="16"/>
                <w:u w:val="none"/>
                <w:lang w:val="en-US" w:eastAsia="zh-CN" w:bidi="ar-SA"/>
              </w:rPr>
            </w:pPr>
            <w:r>
              <w:rPr>
                <w:rFonts w:hint="eastAsia" w:ascii="方正楷体_GBK" w:hAnsi="方正楷体_GBK" w:eastAsia="方正楷体_GBK" w:cs="方正楷体_GBK"/>
                <w:b/>
                <w:bCs/>
                <w:i w:val="0"/>
                <w:snapToGrid/>
                <w:color w:val="000000"/>
                <w:sz w:val="24"/>
                <w:szCs w:val="16"/>
                <w:u w:val="none"/>
                <w:lang w:eastAsia="zh-CN"/>
              </w:rPr>
              <w:t>项</w:t>
            </w:r>
            <w:r>
              <w:rPr>
                <w:rFonts w:hint="eastAsia" w:ascii="方正楷体_GBK" w:hAnsi="方正楷体_GBK" w:eastAsia="方正楷体_GBK" w:cs="方正楷体_GBK"/>
                <w:b/>
                <w:bCs/>
                <w:i w:val="0"/>
                <w:snapToGrid/>
                <w:color w:val="000000"/>
                <w:sz w:val="24"/>
                <w:szCs w:val="16"/>
                <w:u w:val="none"/>
                <w:lang w:val="en-US" w:eastAsia="zh-CN"/>
              </w:rPr>
              <w:t xml:space="preserve"> </w:t>
            </w:r>
            <w:r>
              <w:rPr>
                <w:rFonts w:hint="eastAsia" w:ascii="方正楷体_GBK" w:hAnsi="方正楷体_GBK" w:eastAsia="方正楷体_GBK" w:cs="方正楷体_GBK"/>
                <w:b/>
                <w:bCs/>
                <w:i w:val="0"/>
                <w:snapToGrid/>
                <w:color w:val="000000"/>
                <w:sz w:val="24"/>
                <w:szCs w:val="16"/>
                <w:u w:val="none"/>
                <w:lang w:eastAsia="zh-CN"/>
              </w:rPr>
              <w:t>目</w:t>
            </w:r>
          </w:p>
        </w:tc>
        <w:tc>
          <w:tcPr>
            <w:tcW w:w="1344" w:type="dxa"/>
            <w:tcBorders>
              <w:top w:val="single" w:color="auto" w:sz="4" w:space="0"/>
            </w:tcBorders>
            <w:noWrap w:val="0"/>
            <w:vAlign w:val="center"/>
          </w:tcPr>
          <w:p>
            <w:pPr>
              <w:kinsoku/>
              <w:autoSpaceDE/>
              <w:autoSpaceDN w:val="0"/>
              <w:jc w:val="center"/>
              <w:textAlignment w:val="center"/>
              <w:rPr>
                <w:rFonts w:hint="eastAsia" w:ascii="方正楷体_GBK" w:hAnsi="方正楷体_GBK" w:eastAsia="方正楷体_GBK" w:cs="方正楷体_GBK"/>
                <w:b/>
                <w:bCs/>
                <w:i w:val="0"/>
                <w:snapToGrid/>
                <w:color w:val="000000"/>
                <w:kern w:val="2"/>
                <w:sz w:val="24"/>
                <w:szCs w:val="16"/>
                <w:u w:val="none"/>
                <w:lang w:val="en-US" w:eastAsia="zh-CN" w:bidi="ar-SA"/>
              </w:rPr>
            </w:pPr>
            <w:r>
              <w:rPr>
                <w:rFonts w:hint="eastAsia" w:ascii="方正楷体_GBK" w:hAnsi="方正楷体_GBK" w:eastAsia="方正楷体_GBK" w:cs="方正楷体_GBK"/>
                <w:b/>
                <w:bCs/>
                <w:i w:val="0"/>
                <w:snapToGrid/>
                <w:color w:val="000000"/>
                <w:sz w:val="24"/>
                <w:szCs w:val="16"/>
                <w:u w:val="none"/>
                <w:lang w:eastAsia="zh-CN"/>
              </w:rPr>
              <w:t>内</w:t>
            </w:r>
            <w:r>
              <w:rPr>
                <w:rFonts w:hint="eastAsia" w:ascii="方正楷体_GBK" w:hAnsi="方正楷体_GBK" w:eastAsia="方正楷体_GBK" w:cs="方正楷体_GBK"/>
                <w:b/>
                <w:bCs/>
                <w:i w:val="0"/>
                <w:snapToGrid/>
                <w:color w:val="000000"/>
                <w:sz w:val="24"/>
                <w:szCs w:val="16"/>
                <w:u w:val="none"/>
                <w:lang w:val="en-US" w:eastAsia="zh-CN"/>
              </w:rPr>
              <w:t xml:space="preserve"> </w:t>
            </w:r>
            <w:r>
              <w:rPr>
                <w:rFonts w:hint="eastAsia" w:ascii="方正楷体_GBK" w:hAnsi="方正楷体_GBK" w:eastAsia="方正楷体_GBK" w:cs="方正楷体_GBK"/>
                <w:b/>
                <w:bCs/>
                <w:i w:val="0"/>
                <w:snapToGrid/>
                <w:color w:val="000000"/>
                <w:sz w:val="24"/>
                <w:szCs w:val="16"/>
                <w:u w:val="none"/>
                <w:lang w:eastAsia="zh-CN"/>
              </w:rPr>
              <w:t>容</w:t>
            </w:r>
          </w:p>
        </w:tc>
        <w:tc>
          <w:tcPr>
            <w:tcW w:w="11294" w:type="dxa"/>
            <w:tcBorders>
              <w:top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楷体_GBK" w:hAnsi="方正楷体_GBK" w:eastAsia="方正楷体_GBK" w:cs="方正楷体_GBK"/>
                <w:b w:val="0"/>
                <w:i w:val="0"/>
                <w:snapToGrid/>
                <w:color w:val="000000"/>
                <w:sz w:val="22"/>
                <w:szCs w:val="16"/>
                <w:u w:val="none"/>
                <w:lang w:eastAsia="zh-CN"/>
              </w:rPr>
            </w:pPr>
            <w:r>
              <w:rPr>
                <w:rFonts w:hint="eastAsia" w:ascii="方正楷体_GBK" w:hAnsi="方正楷体_GBK" w:eastAsia="方正楷体_GBK" w:cs="方正楷体_GBK"/>
                <w:b/>
                <w:bCs/>
                <w:i w:val="0"/>
                <w:snapToGrid/>
                <w:color w:val="000000"/>
                <w:sz w:val="24"/>
                <w:szCs w:val="16"/>
                <w:u w:val="none"/>
                <w:lang w:eastAsia="zh-CN"/>
              </w:rPr>
              <w:t>工</w:t>
            </w:r>
            <w:r>
              <w:rPr>
                <w:rFonts w:hint="eastAsia" w:ascii="方正楷体_GBK" w:hAnsi="方正楷体_GBK" w:eastAsia="方正楷体_GBK" w:cs="方正楷体_GBK"/>
                <w:b/>
                <w:bCs/>
                <w:i w:val="0"/>
                <w:snapToGrid/>
                <w:color w:val="000000"/>
                <w:sz w:val="24"/>
                <w:szCs w:val="16"/>
                <w:u w:val="none"/>
                <w:lang w:val="en-US" w:eastAsia="zh-CN"/>
              </w:rPr>
              <w:t xml:space="preserve"> </w:t>
            </w:r>
            <w:r>
              <w:rPr>
                <w:rFonts w:hint="eastAsia" w:ascii="方正楷体_GBK" w:hAnsi="方正楷体_GBK" w:eastAsia="方正楷体_GBK" w:cs="方正楷体_GBK"/>
                <w:b/>
                <w:bCs/>
                <w:i w:val="0"/>
                <w:snapToGrid/>
                <w:color w:val="000000"/>
                <w:sz w:val="24"/>
                <w:szCs w:val="16"/>
                <w:u w:val="none"/>
                <w:lang w:eastAsia="zh-CN"/>
              </w:rPr>
              <w:t>作</w:t>
            </w:r>
            <w:r>
              <w:rPr>
                <w:rFonts w:hint="eastAsia" w:ascii="方正楷体_GBK" w:hAnsi="方正楷体_GBK" w:eastAsia="方正楷体_GBK" w:cs="方正楷体_GBK"/>
                <w:b/>
                <w:bCs/>
                <w:i w:val="0"/>
                <w:snapToGrid/>
                <w:color w:val="000000"/>
                <w:sz w:val="24"/>
                <w:szCs w:val="16"/>
                <w:u w:val="none"/>
                <w:lang w:val="en-US" w:eastAsia="zh-CN"/>
              </w:rPr>
              <w:t xml:space="preserve"> </w:t>
            </w:r>
            <w:r>
              <w:rPr>
                <w:rFonts w:hint="eastAsia" w:ascii="方正楷体_GBK" w:hAnsi="方正楷体_GBK" w:eastAsia="方正楷体_GBK" w:cs="方正楷体_GBK"/>
                <w:b/>
                <w:bCs/>
                <w:i w:val="0"/>
                <w:snapToGrid/>
                <w:color w:val="000000"/>
                <w:sz w:val="24"/>
                <w:szCs w:val="16"/>
                <w:u w:val="none"/>
                <w:lang w:eastAsia="zh-CN"/>
              </w:rPr>
              <w:t>标</w:t>
            </w:r>
            <w:r>
              <w:rPr>
                <w:rFonts w:hint="eastAsia" w:ascii="方正楷体_GBK" w:hAnsi="方正楷体_GBK" w:eastAsia="方正楷体_GBK" w:cs="方正楷体_GBK"/>
                <w:b/>
                <w:bCs/>
                <w:i w:val="0"/>
                <w:snapToGrid/>
                <w:color w:val="000000"/>
                <w:sz w:val="24"/>
                <w:szCs w:val="16"/>
                <w:u w:val="none"/>
                <w:lang w:val="en-US" w:eastAsia="zh-CN"/>
              </w:rPr>
              <w:t xml:space="preserve"> </w:t>
            </w:r>
            <w:r>
              <w:rPr>
                <w:rFonts w:hint="eastAsia" w:ascii="方正楷体_GBK" w:hAnsi="方正楷体_GBK" w:eastAsia="方正楷体_GBK" w:cs="方正楷体_GBK"/>
                <w:b/>
                <w:bCs/>
                <w:i w:val="0"/>
                <w:snapToGrid/>
                <w:color w:val="000000"/>
                <w:sz w:val="24"/>
                <w:szCs w:val="16"/>
                <w:u w:val="none"/>
                <w:lang w:eastAsia="zh-CN"/>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exact"/>
        </w:trPr>
        <w:tc>
          <w:tcPr>
            <w:tcW w:w="133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黑体_GBK" w:hAnsi="方正黑体_GBK" w:eastAsia="方正黑体_GBK" w:cs="方正黑体_GBK"/>
                <w:b w:val="0"/>
                <w:i w:val="0"/>
                <w:snapToGrid/>
                <w:color w:val="000000"/>
                <w:sz w:val="22"/>
                <w:szCs w:val="16"/>
                <w:u w:val="none"/>
                <w:lang w:eastAsia="zh-CN"/>
              </w:rPr>
              <w:t>思想引领</w:t>
            </w:r>
          </w:p>
        </w:tc>
        <w:tc>
          <w:tcPr>
            <w:tcW w:w="1344"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理论学习</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持续深入开展习近平新时代中国特色社会</w:t>
            </w:r>
            <w:r>
              <w:rPr>
                <w:rFonts w:hint="eastAsia" w:ascii="方正仿宋_GBK" w:hAnsi="方正仿宋_GBK" w:eastAsia="方正仿宋_GBK" w:cs="方正仿宋_GBK"/>
                <w:b w:val="0"/>
                <w:i w:val="0"/>
                <w:snapToGrid/>
                <w:color w:val="000000"/>
                <w:sz w:val="22"/>
                <w:szCs w:val="16"/>
                <w:u w:val="none"/>
                <w:lang w:val="en-US" w:eastAsia="zh-CN"/>
              </w:rPr>
              <w:t>主义思想</w:t>
            </w:r>
            <w:r>
              <w:rPr>
                <w:rFonts w:hint="eastAsia" w:ascii="方正仿宋_GBK" w:hAnsi="方正仿宋_GBK" w:eastAsia="方正仿宋_GBK" w:cs="方正仿宋_GBK"/>
                <w:b w:val="0"/>
                <w:i w:val="0"/>
                <w:snapToGrid/>
                <w:color w:val="000000"/>
                <w:sz w:val="22"/>
                <w:szCs w:val="16"/>
                <w:u w:val="none"/>
                <w:lang w:eastAsia="zh-CN"/>
              </w:rPr>
              <w:t>的宣贯教育活动</w:t>
            </w:r>
            <w:r>
              <w:rPr>
                <w:rFonts w:hint="eastAsia" w:ascii="方正仿宋_GBK" w:hAnsi="方正仿宋_GBK" w:eastAsia="方正仿宋_GBK" w:cs="方正仿宋_GBK"/>
                <w:b w:val="0"/>
                <w:i w:val="0"/>
                <w:snapToGrid/>
                <w:color w:val="000000"/>
                <w:sz w:val="22"/>
                <w:szCs w:val="16"/>
                <w:u w:val="none"/>
                <w:lang w:val="en-US" w:eastAsia="zh-CN"/>
              </w:rPr>
              <w:t>，深入学习贯彻党的十九大和十九届二中、三中、四中、五中全会精神，提高各级领导干部政治判断力、政治领悟力、政治执行力。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exact"/>
        </w:trPr>
        <w:tc>
          <w:tcPr>
            <w:tcW w:w="133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344"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认真学习贯彻习近平总书记关于未成年人保护工作的重要指示精神，将其纳入各单位、各部门理论中心组学习和干部培训重要内容</w:t>
            </w:r>
            <w:r>
              <w:rPr>
                <w:rFonts w:hint="eastAsia" w:ascii="方正仿宋_GBK" w:hAnsi="方正仿宋_GBK" w:eastAsia="方正仿宋_GBK" w:cs="方正仿宋_GBK"/>
                <w:b w:val="0"/>
                <w:i w:val="0"/>
                <w:snapToGrid/>
                <w:color w:val="000000"/>
                <w:sz w:val="22"/>
                <w:szCs w:val="16"/>
                <w:u w:val="none"/>
                <w:lang w:val="en-US" w:eastAsia="zh-CN"/>
              </w:rPr>
              <w:t>，坚决扛起高标准抓好未成年人保护工作的政治责任。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133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344"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指导实践</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val="en-US" w:eastAsia="zh-CN"/>
              </w:rPr>
              <w:t>坚持用习近平总书记</w:t>
            </w:r>
            <w:r>
              <w:rPr>
                <w:rFonts w:hint="eastAsia" w:ascii="方正仿宋_GBK" w:hAnsi="方正仿宋_GBK" w:eastAsia="方正仿宋_GBK" w:cs="方正仿宋_GBK"/>
                <w:b w:val="0"/>
                <w:i w:val="0"/>
                <w:snapToGrid/>
                <w:color w:val="000000"/>
                <w:sz w:val="22"/>
                <w:szCs w:val="16"/>
                <w:u w:val="none"/>
                <w:lang w:eastAsia="zh-CN"/>
              </w:rPr>
              <w:t>关于未成年人保护工作的重要指示精神</w:t>
            </w:r>
            <w:r>
              <w:rPr>
                <w:rFonts w:hint="eastAsia" w:ascii="方正仿宋_GBK" w:hAnsi="方正仿宋_GBK" w:eastAsia="方正仿宋_GBK" w:cs="方正仿宋_GBK"/>
                <w:b w:val="0"/>
                <w:i w:val="0"/>
                <w:snapToGrid/>
                <w:color w:val="000000"/>
                <w:sz w:val="22"/>
                <w:szCs w:val="16"/>
                <w:u w:val="none"/>
                <w:lang w:val="en-US" w:eastAsia="zh-CN"/>
              </w:rPr>
              <w:t>指导工作全过程，推动落实未成年人保护工作各项重点任务，推进本地区新时代未成年人保护工作高质量发展。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344"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val="en-US" w:eastAsia="zh-CN"/>
              </w:rPr>
            </w:pPr>
            <w:r>
              <w:rPr>
                <w:rFonts w:hint="eastAsia" w:ascii="方正仿宋_GBK" w:hAnsi="方正仿宋_GBK" w:eastAsia="方正仿宋_GBK" w:cs="方正仿宋_GBK"/>
                <w:b w:val="0"/>
                <w:i w:val="0"/>
                <w:snapToGrid/>
                <w:color w:val="000000"/>
                <w:sz w:val="22"/>
                <w:szCs w:val="16"/>
                <w:u w:val="none"/>
                <w:lang w:val="en-US" w:eastAsia="zh-CN"/>
              </w:rPr>
              <w:t>全面贯彻落实党中央、国务院关于未成年人保护工作的重大决策部署，做到有计划、有部署、落实好。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344"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val="en-US" w:eastAsia="zh-CN"/>
              </w:rPr>
            </w:pPr>
            <w:r>
              <w:rPr>
                <w:rFonts w:hint="eastAsia" w:ascii="方正仿宋_GBK" w:hAnsi="方正仿宋_GBK" w:eastAsia="方正仿宋_GBK" w:cs="方正仿宋_GBK"/>
                <w:b w:val="0"/>
                <w:i w:val="0"/>
                <w:snapToGrid/>
                <w:color w:val="000000"/>
                <w:sz w:val="22"/>
                <w:szCs w:val="16"/>
                <w:u w:val="none"/>
                <w:lang w:val="en-US" w:eastAsia="zh-CN"/>
              </w:rPr>
              <w:t>及时办理落实党中央、国务院领导同志关于未成年人保护工作的指示批示，及时落实地方各级负责同志关于未成年人保护工作的各项要求。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黑体_GBK" w:hAnsi="方正黑体_GBK" w:eastAsia="方正黑体_GBK" w:cs="方正黑体_GBK"/>
                <w:b w:val="0"/>
                <w:i w:val="0"/>
                <w:snapToGrid/>
                <w:color w:val="000000"/>
                <w:sz w:val="22"/>
                <w:szCs w:val="16"/>
                <w:u w:val="none"/>
                <w:lang w:eastAsia="zh-CN"/>
              </w:rPr>
              <w:t>组织领导</w:t>
            </w:r>
          </w:p>
        </w:tc>
        <w:tc>
          <w:tcPr>
            <w:tcW w:w="1344"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sz w:val="18"/>
                <w:szCs w:val="16"/>
              </w:rPr>
            </w:pPr>
            <w:r>
              <w:rPr>
                <w:rFonts w:hint="eastAsia" w:ascii="方正仿宋_GBK" w:hAnsi="方正仿宋_GBK" w:eastAsia="方正仿宋_GBK" w:cs="方正仿宋_GBK"/>
                <w:b w:val="0"/>
                <w:i w:val="0"/>
                <w:snapToGrid/>
                <w:color w:val="000000"/>
                <w:sz w:val="22"/>
                <w:szCs w:val="16"/>
                <w:u w:val="none"/>
                <w:lang w:eastAsia="zh-CN"/>
              </w:rPr>
              <w:t xml:space="preserve"> 组织协调</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kern w:val="2"/>
                <w:sz w:val="22"/>
                <w:szCs w:val="16"/>
                <w:u w:val="none"/>
                <w:lang w:val="en-US" w:eastAsia="zh-CN" w:bidi="ar-SA"/>
              </w:rPr>
            </w:pPr>
            <w:r>
              <w:rPr>
                <w:rFonts w:hint="eastAsia" w:ascii="方正仿宋_GBK" w:hAnsi="方正仿宋_GBK" w:eastAsia="方正仿宋_GBK" w:cs="方正仿宋_GBK"/>
                <w:b w:val="0"/>
                <w:i w:val="0"/>
                <w:snapToGrid/>
                <w:color w:val="000000"/>
                <w:sz w:val="22"/>
                <w:szCs w:val="16"/>
                <w:u w:val="none"/>
                <w:lang w:eastAsia="zh-CN"/>
              </w:rPr>
              <w:t>县级党委和政府将未成年人保护工作纳入国民经济和社会发展规划及工作绩效评价内容。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exact"/>
        </w:trPr>
        <w:tc>
          <w:tcPr>
            <w:tcW w:w="133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344"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kern w:val="2"/>
                <w:sz w:val="22"/>
                <w:szCs w:val="16"/>
                <w:u w:val="none"/>
                <w:lang w:val="en-US" w:eastAsia="zh-CN" w:bidi="ar-SA"/>
              </w:rPr>
            </w:pPr>
            <w:r>
              <w:rPr>
                <w:rFonts w:hint="eastAsia" w:ascii="方正仿宋_GBK" w:hAnsi="方正仿宋_GBK" w:eastAsia="方正仿宋_GBK" w:cs="方正仿宋_GBK"/>
                <w:b w:val="0"/>
                <w:i w:val="0"/>
                <w:snapToGrid/>
                <w:color w:val="000000"/>
                <w:sz w:val="22"/>
                <w:szCs w:val="16"/>
                <w:u w:val="none"/>
                <w:lang w:eastAsia="zh-CN"/>
              </w:rPr>
              <w:t>建立由县</w:t>
            </w:r>
            <w:r>
              <w:rPr>
                <w:rFonts w:hint="eastAsia" w:ascii="方正仿宋_GBK" w:hAnsi="方正仿宋_GBK" w:eastAsia="方正仿宋_GBK" w:cs="方正仿宋_GBK"/>
                <w:b w:val="0"/>
                <w:i w:val="0"/>
                <w:snapToGrid/>
                <w:color w:val="000000"/>
                <w:sz w:val="22"/>
                <w:szCs w:val="16"/>
                <w:u w:val="none"/>
                <w:lang w:val="en-US" w:eastAsia="zh-CN"/>
              </w:rPr>
              <w:t>级党委或</w:t>
            </w:r>
            <w:r>
              <w:rPr>
                <w:rFonts w:hint="eastAsia" w:ascii="方正仿宋_GBK" w:hAnsi="方正仿宋_GBK" w:eastAsia="方正仿宋_GBK" w:cs="方正仿宋_GBK"/>
                <w:b w:val="0"/>
                <w:i w:val="0"/>
                <w:snapToGrid/>
                <w:color w:val="000000"/>
                <w:sz w:val="22"/>
                <w:szCs w:val="16"/>
                <w:u w:val="none"/>
                <w:lang w:eastAsia="zh-CN"/>
              </w:rPr>
              <w:t>政府主要负责同志负责的未成年人保护工作协调机制，统筹、协调、督促和指导相关部门在职责范围内做好未成年人保护工作。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kern w:val="2"/>
                <w:sz w:val="22"/>
                <w:szCs w:val="16"/>
                <w:u w:val="none"/>
                <w:lang w:val="en-US" w:eastAsia="zh-CN" w:bidi="ar-SA"/>
              </w:rPr>
            </w:pPr>
            <w:r>
              <w:rPr>
                <w:rFonts w:hint="eastAsia" w:ascii="方正仿宋_GBK" w:hAnsi="方正仿宋_GBK" w:eastAsia="方正仿宋_GBK" w:cs="方正仿宋_GBK"/>
                <w:b w:val="0"/>
                <w:i w:val="0"/>
                <w:snapToGrid/>
                <w:color w:val="000000"/>
                <w:sz w:val="22"/>
                <w:szCs w:val="16"/>
                <w:u w:val="none"/>
                <w:lang w:eastAsia="zh-CN"/>
              </w:rPr>
              <w:t>县级党委或政府每年至少召开两次会议</w:t>
            </w:r>
            <w:r>
              <w:rPr>
                <w:rFonts w:hint="eastAsia" w:ascii="方正仿宋_GBK" w:hAnsi="方正仿宋_GBK" w:eastAsia="方正仿宋_GBK" w:cs="方正仿宋_GBK"/>
                <w:b w:val="0"/>
                <w:i w:val="0"/>
                <w:snapToGrid/>
                <w:color w:val="000000"/>
                <w:sz w:val="22"/>
                <w:szCs w:val="16"/>
                <w:highlight w:val="none"/>
                <w:u w:val="none"/>
                <w:lang w:eastAsia="zh-CN"/>
              </w:rPr>
              <w:t>，</w:t>
            </w:r>
            <w:r>
              <w:rPr>
                <w:rFonts w:hint="eastAsia" w:ascii="方正仿宋_GBK" w:hAnsi="方正仿宋_GBK" w:eastAsia="方正仿宋_GBK" w:cs="方正仿宋_GBK"/>
                <w:b w:val="0"/>
                <w:i w:val="0"/>
                <w:snapToGrid/>
                <w:color w:val="000000"/>
                <w:sz w:val="22"/>
                <w:szCs w:val="16"/>
                <w:highlight w:val="none"/>
                <w:u w:val="none"/>
                <w:lang w:val="en-US" w:eastAsia="zh-CN"/>
              </w:rPr>
              <w:t>研究解决未成年人保护</w:t>
            </w:r>
            <w:r>
              <w:rPr>
                <w:rFonts w:hint="eastAsia" w:ascii="方正仿宋_GBK" w:hAnsi="方正仿宋_GBK" w:eastAsia="方正仿宋_GBK" w:cs="方正仿宋_GBK"/>
                <w:b w:val="0"/>
                <w:i w:val="0"/>
                <w:snapToGrid/>
                <w:color w:val="000000"/>
                <w:sz w:val="22"/>
                <w:szCs w:val="16"/>
                <w:highlight w:val="none"/>
                <w:u w:val="none"/>
                <w:lang w:eastAsia="zh-CN"/>
              </w:rPr>
              <w:t>工作的重大问题、重要事项和重点个案，形成</w:t>
            </w:r>
            <w:r>
              <w:rPr>
                <w:rFonts w:hint="eastAsia" w:ascii="方正仿宋_GBK" w:hAnsi="方正仿宋_GBK" w:eastAsia="方正仿宋_GBK" w:cs="方正仿宋_GBK"/>
                <w:b w:val="0"/>
                <w:i w:val="0"/>
                <w:snapToGrid/>
                <w:color w:val="000000"/>
                <w:sz w:val="22"/>
                <w:szCs w:val="16"/>
                <w:highlight w:val="none"/>
                <w:u w:val="none"/>
                <w:lang w:val="en-US" w:eastAsia="zh-CN"/>
              </w:rPr>
              <w:t>相关制度措施等</w:t>
            </w:r>
            <w:r>
              <w:rPr>
                <w:rFonts w:hint="eastAsia" w:ascii="方正仿宋_GBK" w:hAnsi="方正仿宋_GBK" w:eastAsia="方正仿宋_GBK" w:cs="方正仿宋_GBK"/>
                <w:b w:val="0"/>
                <w:i w:val="0"/>
                <w:snapToGrid/>
                <w:color w:val="000000"/>
                <w:sz w:val="22"/>
                <w:szCs w:val="16"/>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kern w:val="2"/>
                <w:sz w:val="22"/>
                <w:szCs w:val="16"/>
                <w:u w:val="none"/>
                <w:lang w:val="en-US" w:eastAsia="zh-CN" w:bidi="ar-SA"/>
              </w:rPr>
            </w:pPr>
            <w:r>
              <w:rPr>
                <w:rFonts w:hint="eastAsia" w:ascii="方正仿宋_GBK" w:hAnsi="方正仿宋_GBK" w:eastAsia="方正仿宋_GBK" w:cs="方正仿宋_GBK"/>
                <w:b w:val="0"/>
                <w:i w:val="0"/>
                <w:snapToGrid/>
                <w:color w:val="000000"/>
                <w:sz w:val="22"/>
                <w:szCs w:val="16"/>
                <w:highlight w:val="none"/>
                <w:u w:val="none"/>
                <w:lang w:val="en-US" w:eastAsia="zh-CN"/>
              </w:rPr>
              <w:t>县级党委或政府有关部门职能作用发挥明显，工作合力有效形成。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val="en-US" w:eastAsia="zh-CN"/>
              </w:rPr>
            </w:pPr>
            <w:r>
              <w:rPr>
                <w:rFonts w:hint="eastAsia" w:ascii="方正仿宋_GBK" w:hAnsi="方正仿宋_GBK" w:eastAsia="方正仿宋_GBK" w:cs="方正仿宋_GBK"/>
                <w:b w:val="0"/>
                <w:i w:val="0"/>
                <w:snapToGrid/>
                <w:color w:val="000000"/>
                <w:sz w:val="22"/>
                <w:szCs w:val="16"/>
                <w:highlight w:val="none"/>
                <w:u w:val="none"/>
                <w:lang w:val="en-US" w:eastAsia="zh-CN"/>
              </w:rPr>
              <w:t>县级未成年人保护工作协调机制设立专兼职相结合的未成年人权益督查专员，</w:t>
            </w:r>
            <w:r>
              <w:rPr>
                <w:rFonts w:hint="eastAsia" w:ascii="方正仿宋_GBK" w:hAnsi="方正仿宋_GBK" w:eastAsia="方正仿宋_GBK" w:cs="方正仿宋_GBK"/>
                <w:color w:val="000000"/>
                <w:sz w:val="22"/>
                <w:szCs w:val="16"/>
                <w:lang w:val="en-US" w:eastAsia="zh-CN"/>
              </w:rPr>
              <w:t>负责牵头对本地区开展未成年人保护工作情况进行督促检查，对存在的突出问题以及侵害未成年人权益的恶性案件、重大事件进行跟踪指导、挂牌督办、限时整改。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jc w:val="center"/>
              <w:outlineLvl w:val="9"/>
              <w:rPr>
                <w:rFonts w:hint="eastAsia" w:ascii="方正仿宋_GBK" w:hAnsi="方正仿宋_GBK" w:eastAsia="方正仿宋_GBK" w:cs="方正仿宋_GBK"/>
                <w:sz w:val="18"/>
                <w:szCs w:val="16"/>
              </w:rPr>
            </w:pPr>
          </w:p>
        </w:tc>
        <w:tc>
          <w:tcPr>
            <w:tcW w:w="11294"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县级工会、残疾人联合会、关心下一代工作委员会等组织有效参与未成年人保护工作，作用发挥明显。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jc w:val="center"/>
              <w:outlineLvl w:val="9"/>
              <w:rPr>
                <w:rFonts w:hint="eastAsia" w:ascii="方正仿宋_GBK" w:hAnsi="方正仿宋_GBK" w:eastAsia="方正仿宋_GBK" w:cs="方正仿宋_GBK"/>
                <w:sz w:val="18"/>
                <w:szCs w:val="16"/>
              </w:rPr>
            </w:pPr>
          </w:p>
        </w:tc>
        <w:tc>
          <w:tcPr>
            <w:tcW w:w="11294"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乡镇（街道）建立由党委或政府主要负责同志负责的未成年人保护工作机制，每年至少召开两次会议，研究</w:t>
            </w:r>
            <w:r>
              <w:rPr>
                <w:rFonts w:hint="eastAsia" w:ascii="方正仿宋_GBK" w:hAnsi="方正仿宋_GBK" w:eastAsia="方正仿宋_GBK" w:cs="方正仿宋_GBK"/>
                <w:b w:val="0"/>
                <w:i w:val="0"/>
                <w:snapToGrid/>
                <w:color w:val="000000"/>
                <w:sz w:val="22"/>
                <w:szCs w:val="16"/>
                <w:u w:val="none"/>
                <w:lang w:val="en-US" w:eastAsia="zh-CN"/>
              </w:rPr>
              <w:t>未成年人保护</w:t>
            </w:r>
            <w:r>
              <w:rPr>
                <w:rFonts w:hint="eastAsia" w:ascii="方正仿宋_GBK" w:hAnsi="方正仿宋_GBK" w:eastAsia="方正仿宋_GBK" w:cs="方正仿宋_GBK"/>
                <w:b w:val="0"/>
                <w:i w:val="0"/>
                <w:snapToGrid/>
                <w:color w:val="000000"/>
                <w:sz w:val="22"/>
                <w:szCs w:val="16"/>
                <w:u w:val="none"/>
                <w:lang w:eastAsia="zh-CN"/>
              </w:rPr>
              <w:t>工作的重大问题、重要事项和重点个案，并形成会议纪要。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tcBorders>
              <w:bottom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jc w:val="center"/>
              <w:outlineLvl w:val="9"/>
              <w:rPr>
                <w:rFonts w:hint="eastAsia" w:ascii="方正仿宋_GBK" w:hAnsi="方正仿宋_GBK" w:eastAsia="方正仿宋_GBK" w:cs="方正仿宋_GBK"/>
                <w:sz w:val="18"/>
                <w:szCs w:val="16"/>
                <w:lang w:eastAsia="zh-CN"/>
              </w:rPr>
            </w:pPr>
            <w:r>
              <w:rPr>
                <w:rFonts w:hint="eastAsia" w:ascii="方正仿宋_GBK" w:hAnsi="方正仿宋_GBK" w:eastAsia="方正仿宋_GBK" w:cs="方正仿宋_GBK"/>
                <w:color w:val="000000"/>
                <w:sz w:val="22"/>
                <w:szCs w:val="16"/>
                <w:lang w:eastAsia="zh-CN"/>
              </w:rPr>
              <w:t>组织协调</w:t>
            </w:r>
          </w:p>
        </w:tc>
        <w:tc>
          <w:tcPr>
            <w:tcW w:w="1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将</w:t>
            </w:r>
            <w:r>
              <w:rPr>
                <w:rFonts w:hint="eastAsia" w:ascii="方正仿宋_GBK" w:hAnsi="方正仿宋_GBK" w:eastAsia="方正仿宋_GBK" w:cs="方正仿宋_GBK"/>
                <w:b w:val="0"/>
                <w:i w:val="0"/>
                <w:snapToGrid/>
                <w:color w:val="000000"/>
                <w:sz w:val="22"/>
                <w:szCs w:val="16"/>
                <w:u w:val="none"/>
                <w:lang w:val="en-US" w:eastAsia="zh-CN"/>
              </w:rPr>
              <w:t>未成年人保护</w:t>
            </w:r>
            <w:r>
              <w:rPr>
                <w:rFonts w:hint="eastAsia" w:ascii="方正仿宋_GBK" w:hAnsi="方正仿宋_GBK" w:eastAsia="方正仿宋_GBK" w:cs="方正仿宋_GBK"/>
                <w:b w:val="0"/>
                <w:i w:val="0"/>
                <w:snapToGrid/>
                <w:color w:val="000000"/>
                <w:sz w:val="22"/>
                <w:szCs w:val="16"/>
                <w:u w:val="none"/>
                <w:lang w:eastAsia="zh-CN"/>
              </w:rPr>
              <w:t>工作开展情况作为平安建设考核重要内容，并落实落细文明创建中未成年人保护相关要求</w:t>
            </w:r>
            <w:r>
              <w:rPr>
                <w:rFonts w:hint="eastAsia" w:ascii="方正仿宋_GBK" w:hAnsi="方正仿宋_GBK" w:eastAsia="方正仿宋_GBK" w:cs="方正仿宋_GBK"/>
                <w:color w:val="000000"/>
                <w:sz w:val="22"/>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经费安排</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将未成年人保护工作相关经费纳入本级政府预算，安排专门资金用于未成年人的监护支持、监护监督、监护落实等服务。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统筹财政资金、彩票公益金等多种渠道，积极引导社会力量参与，做好城乡社区未成年人关爱服务场所建设及关爱保护服务、乡镇（街道）及城乡社区未成年人保护工作培训等经费保障。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按照一定标准保障村（社区）儿童主任</w:t>
            </w:r>
            <w:r>
              <w:rPr>
                <w:rFonts w:hint="eastAsia" w:ascii="方正仿宋_GBK" w:hAnsi="方正仿宋_GBK" w:eastAsia="方正仿宋_GBK" w:cs="方正仿宋_GBK"/>
                <w:b w:val="0"/>
                <w:i w:val="0"/>
                <w:snapToGrid/>
                <w:color w:val="000000"/>
                <w:sz w:val="22"/>
                <w:szCs w:val="16"/>
                <w:u w:val="none"/>
                <w:lang w:val="en-US" w:eastAsia="zh-CN"/>
              </w:rPr>
              <w:t>交通、通讯等</w:t>
            </w:r>
            <w:r>
              <w:rPr>
                <w:rFonts w:hint="eastAsia" w:ascii="方正仿宋_GBK" w:hAnsi="方正仿宋_GBK" w:eastAsia="方正仿宋_GBK" w:cs="方正仿宋_GBK"/>
                <w:b w:val="0"/>
                <w:i w:val="0"/>
                <w:snapToGrid/>
                <w:color w:val="000000"/>
                <w:sz w:val="22"/>
                <w:szCs w:val="16"/>
                <w:u w:val="none"/>
                <w:lang w:eastAsia="zh-CN"/>
              </w:rPr>
              <w:t>工作补贴。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将未成年人关爱服务纳入县级政府购买服务指导性目录。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exact"/>
        </w:trPr>
        <w:tc>
          <w:tcPr>
            <w:tcW w:w="133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黑体_GBK" w:hAnsi="方正黑体_GBK" w:eastAsia="方正黑体_GBK" w:cs="方正黑体_GBK"/>
                <w:b w:val="0"/>
                <w:i w:val="0"/>
                <w:snapToGrid/>
                <w:color w:val="000000"/>
                <w:sz w:val="22"/>
                <w:szCs w:val="16"/>
                <w:u w:val="none"/>
                <w:lang w:eastAsia="zh-CN"/>
              </w:rPr>
              <w:t>工作机制</w:t>
            </w:r>
          </w:p>
        </w:tc>
        <w:tc>
          <w:tcPr>
            <w:tcW w:w="1344"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sz w:val="18"/>
                <w:szCs w:val="16"/>
              </w:rPr>
            </w:pPr>
            <w:r>
              <w:rPr>
                <w:rFonts w:hint="eastAsia" w:ascii="方正仿宋_GBK" w:hAnsi="方正仿宋_GBK" w:eastAsia="方正仿宋_GBK" w:cs="方正仿宋_GBK"/>
                <w:b w:val="0"/>
                <w:i w:val="0"/>
                <w:snapToGrid/>
                <w:color w:val="000000"/>
                <w:sz w:val="22"/>
                <w:szCs w:val="16"/>
                <w:u w:val="none"/>
                <w:lang w:eastAsia="zh-CN"/>
              </w:rPr>
              <w:t>发现报告</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人民法院、人民检察院、公安、民政、教育、</w:t>
            </w:r>
            <w:r>
              <w:rPr>
                <w:rFonts w:hint="eastAsia" w:ascii="方正仿宋_GBK" w:hAnsi="方正仿宋_GBK" w:eastAsia="方正仿宋_GBK" w:cs="方正仿宋_GBK"/>
                <w:b w:val="0"/>
                <w:i w:val="0"/>
                <w:snapToGrid/>
                <w:color w:val="000000"/>
                <w:sz w:val="22"/>
                <w:szCs w:val="16"/>
                <w:u w:val="none"/>
                <w:lang w:val="en-US" w:eastAsia="zh-CN"/>
              </w:rPr>
              <w:t>司法</w:t>
            </w:r>
            <w:r>
              <w:rPr>
                <w:rFonts w:hint="eastAsia" w:ascii="方正仿宋_GBK" w:hAnsi="方正仿宋_GBK" w:eastAsia="方正仿宋_GBK" w:cs="方正仿宋_GBK"/>
                <w:b w:val="0"/>
                <w:i w:val="0"/>
                <w:snapToGrid/>
                <w:color w:val="000000"/>
                <w:sz w:val="22"/>
                <w:szCs w:val="16"/>
                <w:u w:val="none"/>
                <w:lang w:eastAsia="zh-CN"/>
              </w:rPr>
              <w:t>等有关部门对涉及未成年人的检举、控告或者报告，建立及时受理、处置工作程序。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jc w:val="center"/>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明确强制报告线索的受理、调查、处置和反馈制度的具体内容，以及未履行强制报告职责的追责问责机制。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highlight w:val="none"/>
                <w:u w:val="none"/>
                <w:lang w:eastAsia="zh-CN"/>
              </w:rPr>
            </w:pPr>
            <w:r>
              <w:rPr>
                <w:rFonts w:hint="eastAsia" w:ascii="方正仿宋_GBK" w:hAnsi="方正仿宋_GBK" w:eastAsia="方正仿宋_GBK" w:cs="方正仿宋_GBK"/>
                <w:b w:val="0"/>
                <w:bCs w:val="0"/>
                <w:i w:val="0"/>
                <w:snapToGrid/>
                <w:color w:val="auto"/>
                <w:sz w:val="22"/>
                <w:szCs w:val="16"/>
                <w:highlight w:val="none"/>
                <w:u w:val="none"/>
                <w:lang w:eastAsia="zh-CN"/>
              </w:rPr>
              <w:t>个案会商</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highlight w:val="none"/>
                <w:u w:val="none"/>
                <w:lang w:eastAsia="zh-CN"/>
              </w:rPr>
            </w:pPr>
            <w:r>
              <w:rPr>
                <w:rFonts w:hint="eastAsia" w:ascii="方正仿宋_GBK" w:hAnsi="方正仿宋_GBK" w:eastAsia="方正仿宋_GBK" w:cs="方正仿宋_GBK"/>
                <w:b w:val="0"/>
                <w:i w:val="0"/>
                <w:snapToGrid/>
                <w:color w:val="000000"/>
                <w:sz w:val="22"/>
                <w:szCs w:val="16"/>
                <w:highlight w:val="none"/>
                <w:u w:val="none"/>
                <w:lang w:eastAsia="zh-CN"/>
              </w:rPr>
              <w:t>建立未成年人</w:t>
            </w:r>
            <w:r>
              <w:rPr>
                <w:rFonts w:hint="eastAsia" w:ascii="方正仿宋_GBK" w:hAnsi="方正仿宋_GBK" w:eastAsia="方正仿宋_GBK" w:cs="方正仿宋_GBK"/>
                <w:b w:val="0"/>
                <w:i w:val="0"/>
                <w:snapToGrid/>
                <w:color w:val="000000"/>
                <w:sz w:val="22"/>
                <w:szCs w:val="16"/>
                <w:highlight w:val="none"/>
                <w:u w:val="none"/>
                <w:lang w:val="en-US" w:eastAsia="zh-CN"/>
              </w:rPr>
              <w:t>保护</w:t>
            </w:r>
            <w:r>
              <w:rPr>
                <w:rFonts w:hint="eastAsia" w:ascii="方正仿宋_GBK" w:hAnsi="方正仿宋_GBK" w:eastAsia="方正仿宋_GBK" w:cs="方正仿宋_GBK"/>
                <w:b w:val="0"/>
                <w:i w:val="0"/>
                <w:snapToGrid/>
                <w:color w:val="000000"/>
                <w:sz w:val="22"/>
                <w:szCs w:val="16"/>
                <w:highlight w:val="none"/>
                <w:u w:val="none"/>
                <w:lang w:eastAsia="zh-CN"/>
              </w:rPr>
              <w:t>个案会商制度，</w:t>
            </w:r>
            <w:r>
              <w:rPr>
                <w:rFonts w:hint="eastAsia" w:ascii="方正仿宋_GBK" w:hAnsi="方正仿宋_GBK" w:eastAsia="方正仿宋_GBK" w:cs="方正仿宋_GBK"/>
                <w:b w:val="0"/>
                <w:i w:val="0"/>
                <w:snapToGrid/>
                <w:color w:val="000000"/>
                <w:sz w:val="22"/>
                <w:szCs w:val="16"/>
                <w:highlight w:val="none"/>
                <w:u w:val="none"/>
                <w:lang w:val="en-US" w:eastAsia="zh-CN"/>
              </w:rPr>
              <w:t>明确个案会商启动情形，多部门、多专业参与途径及职责，个案会商流程及效力等。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从业查询</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建立密切接触未成年人岗位入职查询制度，明确查询程序及相应责任，密切接触未成年人的单位招聘工作人员时，向公安机关、人民检察院查询应聘者有无性侵害、虐待、拐卖、暴力伤害等违法犯罪记录。对现有工作人员，开展</w:t>
            </w:r>
            <w:r>
              <w:rPr>
                <w:rFonts w:hint="eastAsia" w:ascii="方正仿宋_GBK" w:hAnsi="方正仿宋_GBK" w:eastAsia="方正仿宋_GBK" w:cs="方正仿宋_GBK"/>
                <w:b w:val="0"/>
                <w:i w:val="0"/>
                <w:snapToGrid/>
                <w:color w:val="000000"/>
                <w:sz w:val="22"/>
                <w:szCs w:val="16"/>
                <w:u w:val="none"/>
                <w:lang w:val="en-US" w:eastAsia="zh-CN"/>
              </w:rPr>
              <w:t>一次</w:t>
            </w:r>
            <w:r>
              <w:rPr>
                <w:rFonts w:hint="eastAsia" w:ascii="方正仿宋_GBK" w:hAnsi="方正仿宋_GBK" w:eastAsia="方正仿宋_GBK" w:cs="方正仿宋_GBK"/>
                <w:b w:val="0"/>
                <w:i w:val="0"/>
                <w:snapToGrid/>
                <w:color w:val="000000"/>
                <w:sz w:val="22"/>
                <w:szCs w:val="16"/>
                <w:u w:val="none"/>
                <w:lang w:eastAsia="zh-CN"/>
              </w:rPr>
              <w:t>查询之后定期查询。密切接触未成年人的单位在收到查询结果</w:t>
            </w:r>
            <w:r>
              <w:rPr>
                <w:rFonts w:hint="eastAsia" w:ascii="方正仿宋_GBK" w:hAnsi="方正仿宋_GBK" w:eastAsia="方正仿宋_GBK" w:cs="方正仿宋_GBK"/>
                <w:b w:val="0"/>
                <w:i w:val="0"/>
                <w:snapToGrid/>
                <w:color w:val="000000"/>
                <w:sz w:val="22"/>
                <w:szCs w:val="16"/>
                <w:u w:val="none"/>
                <w:lang w:val="en-US" w:eastAsia="zh-CN"/>
              </w:rPr>
              <w:t>30</w:t>
            </w:r>
            <w:r>
              <w:rPr>
                <w:rFonts w:hint="eastAsia" w:ascii="方正仿宋_GBK" w:hAnsi="方正仿宋_GBK" w:eastAsia="方正仿宋_GBK" w:cs="方正仿宋_GBK"/>
                <w:b w:val="0"/>
                <w:i w:val="0"/>
                <w:snapToGrid/>
                <w:color w:val="000000"/>
                <w:sz w:val="22"/>
                <w:szCs w:val="16"/>
                <w:u w:val="none"/>
                <w:lang w:eastAsia="zh-CN"/>
              </w:rPr>
              <w:t>个工作日内与有相关违法犯罪记录</w:t>
            </w:r>
            <w:r>
              <w:rPr>
                <w:rFonts w:hint="eastAsia" w:ascii="方正仿宋_GBK" w:hAnsi="方正仿宋_GBK" w:eastAsia="方正仿宋_GBK" w:cs="方正仿宋_GBK"/>
                <w:b w:val="0"/>
                <w:i w:val="0"/>
                <w:snapToGrid/>
                <w:color w:val="000000"/>
                <w:sz w:val="22"/>
                <w:szCs w:val="16"/>
                <w:u w:val="none"/>
                <w:lang w:val="en-US" w:eastAsia="zh-CN"/>
              </w:rPr>
              <w:t>的</w:t>
            </w:r>
            <w:r>
              <w:rPr>
                <w:rFonts w:hint="eastAsia" w:ascii="方正仿宋_GBK" w:hAnsi="方正仿宋_GBK" w:eastAsia="方正仿宋_GBK" w:cs="方正仿宋_GBK"/>
                <w:b w:val="0"/>
                <w:i w:val="0"/>
                <w:snapToGrid/>
                <w:color w:val="000000"/>
                <w:sz w:val="22"/>
                <w:szCs w:val="16"/>
                <w:u w:val="none"/>
                <w:lang w:eastAsia="zh-CN"/>
              </w:rPr>
              <w:t>人员</w:t>
            </w:r>
            <w:r>
              <w:rPr>
                <w:rFonts w:hint="eastAsia" w:ascii="方正仿宋_GBK" w:hAnsi="方正仿宋_GBK" w:eastAsia="方正仿宋_GBK" w:cs="方正仿宋_GBK"/>
                <w:b w:val="0"/>
                <w:i w:val="0"/>
                <w:snapToGrid/>
                <w:color w:val="000000"/>
                <w:sz w:val="22"/>
                <w:szCs w:val="16"/>
                <w:u w:val="none"/>
                <w:lang w:val="en-US" w:eastAsia="zh-CN"/>
              </w:rPr>
              <w:t>解除</w:t>
            </w:r>
            <w:r>
              <w:rPr>
                <w:rFonts w:hint="eastAsia" w:ascii="方正仿宋_GBK" w:hAnsi="方正仿宋_GBK" w:eastAsia="方正仿宋_GBK" w:cs="方正仿宋_GBK"/>
                <w:b w:val="0"/>
                <w:i w:val="0"/>
                <w:snapToGrid/>
                <w:color w:val="000000"/>
                <w:sz w:val="22"/>
                <w:szCs w:val="16"/>
                <w:u w:val="none"/>
                <w:lang w:eastAsia="zh-CN"/>
              </w:rPr>
              <w:t>工作</w:t>
            </w:r>
            <w:r>
              <w:rPr>
                <w:rFonts w:hint="eastAsia" w:ascii="方正仿宋_GBK" w:hAnsi="方正仿宋_GBK" w:eastAsia="方正仿宋_GBK" w:cs="方正仿宋_GBK"/>
                <w:b w:val="0"/>
                <w:i w:val="0"/>
                <w:snapToGrid/>
                <w:color w:val="000000"/>
                <w:sz w:val="22"/>
                <w:szCs w:val="16"/>
                <w:u w:val="none"/>
                <w:lang w:val="en-US" w:eastAsia="zh-CN"/>
              </w:rPr>
              <w:t>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保护热线</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明确机构或人员负责未成年人救助保护热线转介个案的咨询、处置等工作，并做好热线宣传。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信息管理</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建立动态监测机制，按季度做好相关信息系统的数据采集录入、审核报送、动态更新等工作。人民法院、人民检察院、公安、民政、教育、</w:t>
            </w:r>
            <w:r>
              <w:rPr>
                <w:rFonts w:hint="eastAsia" w:ascii="方正仿宋_GBK" w:hAnsi="方正仿宋_GBK" w:eastAsia="方正仿宋_GBK" w:cs="方正仿宋_GBK"/>
                <w:b w:val="0"/>
                <w:i w:val="0"/>
                <w:snapToGrid/>
                <w:color w:val="000000"/>
                <w:sz w:val="22"/>
                <w:szCs w:val="16"/>
                <w:u w:val="none"/>
                <w:lang w:val="en-US" w:eastAsia="zh-CN"/>
              </w:rPr>
              <w:t>司法、卫健、残联、妇联</w:t>
            </w:r>
            <w:r>
              <w:rPr>
                <w:rFonts w:hint="eastAsia" w:ascii="方正仿宋_GBK" w:hAnsi="方正仿宋_GBK" w:eastAsia="方正仿宋_GBK" w:cs="方正仿宋_GBK"/>
                <w:b w:val="0"/>
                <w:i w:val="0"/>
                <w:snapToGrid/>
                <w:color w:val="000000"/>
                <w:sz w:val="22"/>
                <w:szCs w:val="16"/>
                <w:u w:val="none"/>
                <w:lang w:eastAsia="zh-CN"/>
              </w:rPr>
              <w:t>等部门和单位</w:t>
            </w:r>
            <w:r>
              <w:rPr>
                <w:rFonts w:hint="eastAsia" w:ascii="方正仿宋_GBK" w:hAnsi="方正仿宋_GBK" w:eastAsia="方正仿宋_GBK" w:cs="方正仿宋_GBK"/>
                <w:b w:val="0"/>
                <w:i w:val="0"/>
                <w:snapToGrid/>
                <w:color w:val="000000"/>
                <w:sz w:val="22"/>
                <w:szCs w:val="16"/>
                <w:u w:val="none"/>
                <w:lang w:val="en-US" w:eastAsia="zh-CN"/>
              </w:rPr>
              <w:t>实现</w:t>
            </w:r>
            <w:r>
              <w:rPr>
                <w:rFonts w:hint="eastAsia" w:ascii="方正仿宋_GBK" w:hAnsi="方正仿宋_GBK" w:eastAsia="方正仿宋_GBK" w:cs="方正仿宋_GBK"/>
                <w:b w:val="0"/>
                <w:i w:val="0"/>
                <w:snapToGrid/>
                <w:color w:val="000000"/>
                <w:sz w:val="22"/>
                <w:szCs w:val="16"/>
                <w:u w:val="none"/>
                <w:lang w:eastAsia="zh-CN"/>
              </w:rPr>
              <w:t>未成年人</w:t>
            </w:r>
            <w:r>
              <w:rPr>
                <w:rFonts w:hint="eastAsia" w:ascii="方正仿宋_GBK" w:hAnsi="方正仿宋_GBK" w:eastAsia="方正仿宋_GBK" w:cs="方正仿宋_GBK"/>
                <w:b w:val="0"/>
                <w:i w:val="0"/>
                <w:snapToGrid/>
                <w:color w:val="000000"/>
                <w:sz w:val="22"/>
                <w:szCs w:val="16"/>
                <w:u w:val="none"/>
                <w:lang w:val="en-US" w:eastAsia="zh-CN"/>
              </w:rPr>
              <w:t>有关</w:t>
            </w:r>
            <w:r>
              <w:rPr>
                <w:rFonts w:hint="eastAsia" w:ascii="方正仿宋_GBK" w:hAnsi="方正仿宋_GBK" w:eastAsia="方正仿宋_GBK" w:cs="方正仿宋_GBK"/>
                <w:b w:val="0"/>
                <w:i w:val="0"/>
                <w:snapToGrid/>
                <w:color w:val="000000"/>
                <w:sz w:val="22"/>
                <w:szCs w:val="16"/>
                <w:u w:val="none"/>
                <w:lang w:eastAsia="zh-CN"/>
              </w:rPr>
              <w:t>信息通报</w:t>
            </w:r>
            <w:r>
              <w:rPr>
                <w:rFonts w:hint="eastAsia" w:ascii="方正仿宋_GBK" w:hAnsi="方正仿宋_GBK" w:eastAsia="方正仿宋_GBK" w:cs="方正仿宋_GBK"/>
                <w:b w:val="0"/>
                <w:i w:val="0"/>
                <w:snapToGrid/>
                <w:color w:val="000000"/>
                <w:sz w:val="22"/>
                <w:szCs w:val="16"/>
                <w:u w:val="none"/>
                <w:lang w:val="en-US" w:eastAsia="zh-CN"/>
              </w:rPr>
              <w:t>共</w:t>
            </w:r>
            <w:r>
              <w:rPr>
                <w:rFonts w:hint="eastAsia" w:ascii="方正仿宋_GBK" w:hAnsi="方正仿宋_GBK" w:eastAsia="方正仿宋_GBK" w:cs="方正仿宋_GBK"/>
                <w:b w:val="0"/>
                <w:i w:val="0"/>
                <w:snapToGrid/>
                <w:color w:val="000000"/>
                <w:sz w:val="22"/>
                <w:szCs w:val="16"/>
                <w:u w:val="none"/>
                <w:lang w:eastAsia="zh-CN"/>
              </w:rPr>
              <w:t>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黑体_GBK" w:hAnsi="方正黑体_GBK" w:eastAsia="方正黑体_GBK" w:cs="方正黑体_GBK"/>
                <w:b w:val="0"/>
                <w:i w:val="0"/>
                <w:snapToGrid/>
                <w:color w:val="000000"/>
                <w:sz w:val="22"/>
                <w:szCs w:val="16"/>
                <w:u w:val="none"/>
                <w:lang w:eastAsia="zh-CN"/>
              </w:rPr>
              <w:t>家庭保护</w:t>
            </w:r>
          </w:p>
        </w:tc>
        <w:tc>
          <w:tcPr>
            <w:tcW w:w="1344"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监护指导</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婚姻登记机关办理离婚登记及人民法院审理家事案件时涉及未成年子女的，对当事人进行未成年人保护相关家庭教育指导。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344"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利用村（社区）党群服务中心、文化活动室等现有资源，加强社区家长学校、家庭教育指导服务站点建设，每季度至少开展</w:t>
            </w:r>
            <w:r>
              <w:rPr>
                <w:rFonts w:hint="eastAsia" w:ascii="方正仿宋_GBK" w:hAnsi="方正仿宋_GBK" w:eastAsia="方正仿宋_GBK" w:cs="方正仿宋_GBK"/>
                <w:b w:val="0"/>
                <w:i w:val="0"/>
                <w:snapToGrid/>
                <w:color w:val="000000"/>
                <w:sz w:val="22"/>
                <w:szCs w:val="16"/>
                <w:u w:val="none"/>
                <w:lang w:val="en-US" w:eastAsia="zh-CN"/>
              </w:rPr>
              <w:t>1</w:t>
            </w:r>
            <w:r>
              <w:rPr>
                <w:rFonts w:hint="eastAsia" w:ascii="方正仿宋_GBK" w:hAnsi="方正仿宋_GBK" w:eastAsia="方正仿宋_GBK" w:cs="方正仿宋_GBK"/>
                <w:b w:val="0"/>
                <w:i w:val="0"/>
                <w:snapToGrid/>
                <w:color w:val="000000"/>
                <w:sz w:val="22"/>
                <w:szCs w:val="16"/>
                <w:u w:val="none"/>
                <w:lang w:eastAsia="zh-CN"/>
              </w:rPr>
              <w:t>次宣传培训、家庭教育指导等活动，</w:t>
            </w:r>
            <w:r>
              <w:rPr>
                <w:rFonts w:hint="eastAsia" w:ascii="方正仿宋_GBK" w:hAnsi="方正仿宋_GBK" w:eastAsia="方正仿宋_GBK" w:cs="方正仿宋_GBK"/>
                <w:b w:val="0"/>
                <w:bCs w:val="0"/>
                <w:i w:val="0"/>
                <w:iCs w:val="0"/>
                <w:color w:val="000000"/>
                <w:sz w:val="22"/>
                <w:szCs w:val="16"/>
                <w:u w:val="none"/>
                <w:vertAlign w:val="baseline"/>
                <w:lang w:val="en-US" w:eastAsia="zh-CN"/>
              </w:rPr>
              <w:t>倡导无烟家庭建设，</w:t>
            </w:r>
            <w:r>
              <w:rPr>
                <w:rFonts w:hint="eastAsia" w:ascii="方正仿宋_GBK" w:hAnsi="方正仿宋_GBK" w:eastAsia="方正仿宋_GBK" w:cs="方正仿宋_GBK"/>
                <w:b w:val="0"/>
                <w:i w:val="0"/>
                <w:snapToGrid/>
                <w:color w:val="000000"/>
                <w:sz w:val="22"/>
                <w:szCs w:val="16"/>
                <w:u w:val="none"/>
                <w:lang w:eastAsia="zh-CN"/>
              </w:rPr>
              <w:t>并做好活动记录。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监护支持</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面向</w:t>
            </w:r>
            <w:r>
              <w:rPr>
                <w:rFonts w:hint="eastAsia" w:ascii="方正仿宋_GBK" w:hAnsi="方正仿宋_GBK" w:eastAsia="方正仿宋_GBK" w:cs="方正仿宋_GBK"/>
                <w:b w:val="0"/>
                <w:i w:val="0"/>
                <w:snapToGrid/>
                <w:color w:val="000000"/>
                <w:sz w:val="22"/>
                <w:szCs w:val="16"/>
                <w:u w:val="none"/>
                <w:lang w:val="en-US" w:eastAsia="zh-CN"/>
              </w:rPr>
              <w:t>3岁以下婴幼儿</w:t>
            </w:r>
            <w:r>
              <w:rPr>
                <w:rFonts w:hint="eastAsia" w:ascii="方正仿宋_GBK" w:hAnsi="方正仿宋_GBK" w:eastAsia="方正仿宋_GBK" w:cs="方正仿宋_GBK"/>
                <w:b w:val="0"/>
                <w:i w:val="0"/>
                <w:snapToGrid/>
                <w:color w:val="000000"/>
                <w:sz w:val="22"/>
                <w:szCs w:val="16"/>
                <w:u w:val="none"/>
                <w:lang w:eastAsia="zh-CN"/>
              </w:rPr>
              <w:t>家庭，开展家庭照护支持服务，增强家庭科学育儿能力。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highlight w:val="none"/>
                <w:u w:val="none"/>
                <w:lang w:eastAsia="zh-CN"/>
              </w:rPr>
              <w:t>面向残疾和大病儿童及其家庭，提供上门探访、政策宣传落实、特殊教育和康复指导、精神慰藉等服务。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监护监督</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建立监护困境未成年人风险评估等级指标和分级干预措施，明确不同风险等级家访频率，并做好家访情况记录。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黑体_GBK" w:hAnsi="方正黑体_GBK" w:eastAsia="方正黑体_GBK" w:cs="方正黑体_GBK"/>
                <w:b w:val="0"/>
                <w:i w:val="0"/>
                <w:snapToGrid/>
                <w:color w:val="000000"/>
                <w:sz w:val="22"/>
                <w:szCs w:val="16"/>
                <w:u w:val="none"/>
                <w:lang w:eastAsia="zh-CN"/>
              </w:rPr>
              <w:t>学校保护</w:t>
            </w:r>
          </w:p>
        </w:tc>
        <w:tc>
          <w:tcPr>
            <w:tcW w:w="134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安全保障</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highlight w:val="none"/>
                <w:u w:val="none"/>
                <w:lang w:eastAsia="zh-CN"/>
              </w:rPr>
              <w:t>建立学校保护工作评估制度，评估结果纳入学校管理水平评价和校长考评考核范围。</w:t>
            </w:r>
            <w:r>
              <w:rPr>
                <w:rFonts w:hint="eastAsia" w:ascii="方正仿宋_GBK" w:hAnsi="方正仿宋_GBK" w:eastAsia="方正仿宋_GBK" w:cs="方正仿宋_GBK"/>
                <w:b w:val="0"/>
                <w:i w:val="0"/>
                <w:snapToGrid/>
                <w:color w:val="000000"/>
                <w:sz w:val="22"/>
                <w:szCs w:val="16"/>
                <w:u w:val="none"/>
                <w:lang w:eastAsia="zh-CN"/>
              </w:rPr>
              <w:t>建立完善幼儿园、学校安全、未成年人实习实训风险防控体系和依法处置机制。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权益维护</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highlight w:val="none"/>
                <w:u w:val="none"/>
                <w:lang w:eastAsia="zh-CN"/>
              </w:rPr>
            </w:pPr>
            <w:r>
              <w:rPr>
                <w:rFonts w:hint="eastAsia" w:ascii="方正仿宋_GBK" w:hAnsi="方正仿宋_GBK" w:eastAsia="方正仿宋_GBK" w:cs="方正仿宋_GBK"/>
                <w:b w:val="0"/>
                <w:bCs w:val="0"/>
                <w:i w:val="0"/>
                <w:iCs w:val="0"/>
                <w:color w:val="000000"/>
                <w:sz w:val="22"/>
                <w:szCs w:val="16"/>
                <w:highlight w:val="none"/>
                <w:u w:val="none"/>
                <w:vertAlign w:val="baseline"/>
                <w:lang w:val="en-US" w:eastAsia="zh-CN"/>
              </w:rPr>
              <w:t>学校建立学生欺凌防控和预防性侵害、性骚扰等专项制度，以及未成年人遭受或疑似遭受其他不法侵害的强制报告机制。建立对学生实施欺凌、性侵害、性骚扰行为的零容忍处理机制和受伤害学生的关爱、帮扶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通过建立学校社会工作站、</w:t>
            </w:r>
            <w:r>
              <w:rPr>
                <w:rFonts w:hint="eastAsia" w:ascii="方正仿宋_GBK" w:hAnsi="方正仿宋_GBK" w:eastAsia="方正仿宋_GBK" w:cs="方正仿宋_GBK"/>
                <w:b w:val="0"/>
                <w:i w:val="0"/>
                <w:snapToGrid/>
                <w:color w:val="000000"/>
                <w:sz w:val="22"/>
                <w:szCs w:val="16"/>
                <w:u w:val="none"/>
                <w:lang w:val="en-US" w:eastAsia="zh-CN"/>
              </w:rPr>
              <w:t>设立社会工作</w:t>
            </w:r>
            <w:r>
              <w:rPr>
                <w:rFonts w:hint="eastAsia" w:ascii="方正仿宋_GBK" w:hAnsi="方正仿宋_GBK" w:eastAsia="方正仿宋_GBK" w:cs="方正仿宋_GBK"/>
                <w:b w:val="0"/>
                <w:i w:val="0"/>
                <w:snapToGrid/>
                <w:color w:val="000000"/>
                <w:sz w:val="22"/>
                <w:szCs w:val="16"/>
                <w:u w:val="none"/>
                <w:lang w:eastAsia="zh-CN"/>
              </w:rPr>
              <w:t>岗位、政府购买服务等方式，</w:t>
            </w:r>
            <w:r>
              <w:rPr>
                <w:rFonts w:hint="eastAsia" w:ascii="方正仿宋_GBK" w:hAnsi="方正仿宋_GBK" w:eastAsia="方正仿宋_GBK" w:cs="方正仿宋_GBK"/>
                <w:b w:val="0"/>
                <w:i w:val="0"/>
                <w:snapToGrid/>
                <w:color w:val="000000"/>
                <w:sz w:val="22"/>
                <w:szCs w:val="16"/>
                <w:u w:val="none"/>
                <w:lang w:val="en-US" w:eastAsia="zh-CN"/>
              </w:rPr>
              <w:t>在</w:t>
            </w:r>
            <w:r>
              <w:rPr>
                <w:rFonts w:hint="eastAsia" w:ascii="方正仿宋_GBK" w:hAnsi="方正仿宋_GBK" w:eastAsia="方正仿宋_GBK" w:cs="方正仿宋_GBK"/>
                <w:b w:val="0"/>
                <w:i w:val="0"/>
                <w:snapToGrid/>
                <w:color w:val="000000"/>
                <w:sz w:val="22"/>
                <w:szCs w:val="16"/>
                <w:u w:val="none"/>
                <w:lang w:eastAsia="zh-CN"/>
              </w:rPr>
              <w:t>每个学校配备或指定一名驻校社工。每所中小学至少要配备</w:t>
            </w:r>
            <w:r>
              <w:rPr>
                <w:rFonts w:hint="eastAsia" w:ascii="方正仿宋_GBK" w:hAnsi="方正仿宋_GBK" w:eastAsia="方正仿宋_GBK" w:cs="方正仿宋_GBK"/>
                <w:b w:val="0"/>
                <w:i w:val="0"/>
                <w:snapToGrid/>
                <w:color w:val="000000"/>
                <w:sz w:val="22"/>
                <w:szCs w:val="16"/>
                <w:u w:val="none"/>
                <w:lang w:val="en-US" w:eastAsia="zh-CN"/>
              </w:rPr>
              <w:t>1名专职心理健康教育教师。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学校应当建立健全教职工与学生交往行为准则。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color w:val="000000"/>
                <w:sz w:val="22"/>
                <w:szCs w:val="16"/>
              </w:rPr>
            </w:pPr>
            <w:r>
              <w:rPr>
                <w:rFonts w:hint="eastAsia" w:ascii="方正仿宋_GBK" w:hAnsi="方正仿宋_GBK" w:eastAsia="方正仿宋_GBK" w:cs="方正仿宋_GBK"/>
                <w:b w:val="0"/>
                <w:bCs w:val="0"/>
                <w:i w:val="0"/>
                <w:iCs w:val="0"/>
                <w:color w:val="000000"/>
                <w:sz w:val="22"/>
                <w:szCs w:val="16"/>
                <w:u w:val="none"/>
                <w:vertAlign w:val="baseline"/>
                <w:lang w:val="en-US" w:eastAsia="zh-CN"/>
              </w:rPr>
              <w:t>推进无烟学校建设，学校、幼儿园周边不得设置卷烟、电子烟等产品销售网点。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黑体_GBK" w:hAnsi="方正黑体_GBK" w:eastAsia="方正黑体_GBK" w:cs="方正黑体_GBK"/>
                <w:b w:val="0"/>
                <w:i w:val="0"/>
                <w:snapToGrid/>
                <w:color w:val="000000"/>
                <w:sz w:val="22"/>
                <w:szCs w:val="16"/>
                <w:u w:val="none"/>
                <w:lang w:eastAsia="zh-CN"/>
              </w:rPr>
              <w:t>社会保护</w:t>
            </w:r>
          </w:p>
        </w:tc>
        <w:tc>
          <w:tcPr>
            <w:tcW w:w="134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highlight w:val="none"/>
                <w:u w:val="none"/>
                <w:lang w:eastAsia="zh-CN"/>
              </w:rPr>
            </w:pPr>
            <w:r>
              <w:rPr>
                <w:rFonts w:hint="eastAsia" w:ascii="方正仿宋_GBK" w:hAnsi="方正仿宋_GBK" w:eastAsia="方正仿宋_GBK" w:cs="方正仿宋_GBK"/>
                <w:b w:val="0"/>
                <w:bCs w:val="0"/>
                <w:i w:val="0"/>
                <w:iCs w:val="0"/>
                <w:color w:val="000000"/>
                <w:sz w:val="22"/>
                <w:szCs w:val="16"/>
                <w:u w:val="none"/>
                <w:vertAlign w:val="baseline"/>
                <w:lang w:val="en-US" w:eastAsia="zh-CN"/>
              </w:rPr>
              <w:t>社会参与</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bCs w:val="0"/>
                <w:i w:val="0"/>
                <w:iCs w:val="0"/>
                <w:color w:val="000000"/>
                <w:sz w:val="22"/>
                <w:szCs w:val="16"/>
                <w:u w:val="none"/>
                <w:vertAlign w:val="baseline"/>
                <w:lang w:val="en-US" w:eastAsia="zh-CN"/>
              </w:rPr>
              <w:t>动员和支持青少年事务社工机构、志愿服务组织、相关社会组织，依托专业力量开展未成年人法治宣传、心理健康服务和自护教育。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34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bCs w:val="0"/>
                <w:i w:val="0"/>
                <w:iCs w:val="0"/>
                <w:color w:val="000000"/>
                <w:sz w:val="22"/>
                <w:szCs w:val="16"/>
                <w:u w:val="none"/>
                <w:vertAlign w:val="baseline"/>
                <w:lang w:val="en-US" w:eastAsia="zh-CN"/>
              </w:rPr>
              <w:t>公共服务</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利用各类媒介定期刊播未成年人保护相关公益广告</w:t>
            </w:r>
            <w:r>
              <w:rPr>
                <w:rFonts w:hint="eastAsia" w:ascii="方正仿宋_GBK" w:hAnsi="方正仿宋_GBK" w:eastAsia="方正仿宋_GBK" w:cs="方正仿宋_GBK"/>
                <w:b w:val="0"/>
                <w:i w:val="0"/>
                <w:snapToGrid/>
                <w:color w:val="000000"/>
                <w:sz w:val="22"/>
                <w:szCs w:val="16"/>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公共场所</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完善道路、公共交通、公共服务场所等重点领域的盲道、无障碍卫生间、无障碍通道等设施建设，将无障碍建设相关法规、规划、标准的要求落实到公共设施建设全程管理体系和评价指标中。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定期维护未成年人集中活动公共场所的设施设备，在显著位置设立安全警示标志</w:t>
            </w:r>
            <w:r>
              <w:rPr>
                <w:rFonts w:hint="eastAsia" w:ascii="方正仿宋_GBK" w:hAnsi="方正仿宋_GBK" w:eastAsia="方正仿宋_GBK" w:cs="方正仿宋_GBK"/>
                <w:b w:val="0"/>
                <w:bCs w:val="0"/>
                <w:i w:val="0"/>
                <w:iCs w:val="0"/>
                <w:color w:val="000000"/>
                <w:sz w:val="22"/>
                <w:szCs w:val="16"/>
                <w:u w:val="none"/>
                <w:vertAlign w:val="baseline"/>
                <w:lang w:val="en-US" w:eastAsia="zh-CN"/>
              </w:rPr>
              <w:t>和禁止吸烟标志</w:t>
            </w:r>
            <w:r>
              <w:rPr>
                <w:rFonts w:hint="eastAsia" w:ascii="方正仿宋_GBK" w:hAnsi="方正仿宋_GBK" w:eastAsia="方正仿宋_GBK" w:cs="方正仿宋_GBK"/>
                <w:b w:val="0"/>
                <w:i w:val="0"/>
                <w:snapToGrid/>
                <w:color w:val="000000"/>
                <w:sz w:val="22"/>
                <w:szCs w:val="16"/>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落实未成年人入住旅馆（宾馆、酒店）的核查与报告制度，在显著位置张贴未成年人入住相关规定。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bCs w:val="0"/>
                <w:i w:val="0"/>
                <w:iCs w:val="0"/>
                <w:color w:val="000000"/>
                <w:sz w:val="22"/>
                <w:szCs w:val="16"/>
                <w:u w:val="none"/>
                <w:vertAlign w:val="baseline"/>
                <w:lang w:val="en-US" w:eastAsia="zh-CN"/>
              </w:rPr>
              <w:t>大型公共场所、公共交通工具、旅游景点等设置母婴室、婴儿护理台以及方便幼儿使用的坐便器、洗手台等卫生设施。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exact"/>
        </w:trPr>
        <w:tc>
          <w:tcPr>
            <w:tcW w:w="133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344"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bCs w:val="0"/>
                <w:i w:val="0"/>
                <w:iCs w:val="0"/>
                <w:color w:val="000000"/>
                <w:sz w:val="22"/>
                <w:szCs w:val="16"/>
                <w:u w:val="none"/>
                <w:vertAlign w:val="baseline"/>
                <w:lang w:val="en-US" w:eastAsia="zh-CN"/>
              </w:rPr>
              <w:t>爱国主义教育基地、图书馆、青少年宫、儿童活动中心、儿童之家对未成年人免费开放；纪念馆、科技馆、展览馆、美术馆、文化馆按照有关规定对未成年人免费或者优惠开放。相关场馆开设未成年人专场，为未成年人提供有针对性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34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培训机构</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bCs w:val="0"/>
                <w:i w:val="0"/>
                <w:iCs w:val="0"/>
                <w:color w:val="000000"/>
                <w:sz w:val="22"/>
                <w:szCs w:val="16"/>
                <w:u w:val="none"/>
                <w:vertAlign w:val="baseline"/>
                <w:lang w:val="en-US" w:eastAsia="zh-CN"/>
              </w:rPr>
            </w:pPr>
            <w:r>
              <w:rPr>
                <w:rFonts w:hint="eastAsia" w:ascii="方正仿宋_GBK" w:hAnsi="方正仿宋_GBK" w:eastAsia="方正仿宋_GBK" w:cs="方正仿宋_GBK"/>
                <w:b w:val="0"/>
                <w:bCs w:val="0"/>
                <w:i w:val="0"/>
                <w:iCs w:val="0"/>
                <w:color w:val="000000"/>
                <w:sz w:val="22"/>
                <w:szCs w:val="16"/>
                <w:u w:val="none"/>
                <w:vertAlign w:val="baseline"/>
                <w:lang w:val="en-US" w:eastAsia="zh-CN"/>
              </w:rPr>
              <w:t>线上线下校外培训机构不得占用国家法定节假日、休息日及寒暑假期组织义务教育阶段的未成年学生集体补课，加重其学习负担。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黑体_GBK" w:hAnsi="方正黑体_GBK" w:eastAsia="方正黑体_GBK" w:cs="方正黑体_GBK"/>
                <w:b w:val="0"/>
                <w:i w:val="0"/>
                <w:snapToGrid/>
                <w:color w:val="000000"/>
                <w:sz w:val="22"/>
                <w:szCs w:val="16"/>
                <w:u w:val="none"/>
                <w:lang w:eastAsia="zh-CN"/>
              </w:rPr>
              <w:t>网络保护</w:t>
            </w:r>
          </w:p>
        </w:tc>
        <w:tc>
          <w:tcPr>
            <w:tcW w:w="1344"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预防网络</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沉迷</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未成年学生进校后手机交由学校统一保管，学校明确统一的保管场所、方式、责任人，提供必要的保管装置。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344"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在寒暑假、法定节假日等重要时间节点，开展网吧专项检查，整治接纳未成年人上网行为。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34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预防网络</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沉迷</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bCs w:val="0"/>
                <w:i w:val="0"/>
                <w:iCs w:val="0"/>
                <w:color w:val="000000"/>
                <w:sz w:val="22"/>
                <w:szCs w:val="16"/>
                <w:u w:val="none"/>
                <w:vertAlign w:val="baseline"/>
                <w:lang w:val="en-US" w:eastAsia="zh-CN"/>
              </w:rPr>
              <w:t>学校对学生进行网络安全、网络文明和防止沉迷网络的教育，预防和干预学生过度使用网络。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网络投诉</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举报</w:t>
            </w:r>
          </w:p>
        </w:tc>
        <w:tc>
          <w:tcPr>
            <w:tcW w:w="1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网络产品、网络游戏和服务管理规范有效，</w:t>
            </w:r>
            <w:r>
              <w:rPr>
                <w:rFonts w:hint="eastAsia" w:ascii="方正仿宋_GBK" w:hAnsi="方正仿宋_GBK" w:eastAsia="方正仿宋_GBK" w:cs="方正仿宋_GBK"/>
                <w:b w:val="0"/>
                <w:bCs w:val="0"/>
                <w:i w:val="0"/>
                <w:iCs w:val="0"/>
                <w:color w:val="000000"/>
                <w:sz w:val="22"/>
                <w:szCs w:val="16"/>
                <w:u w:val="none"/>
                <w:vertAlign w:val="baseline"/>
                <w:lang w:val="en-US" w:eastAsia="zh-CN"/>
              </w:rPr>
              <w:t>对存在违法违规行为和不良内容的网络产品和服务，</w:t>
            </w:r>
            <w:r>
              <w:rPr>
                <w:rFonts w:hint="eastAsia" w:ascii="方正仿宋_GBK" w:hAnsi="方正仿宋_GBK" w:eastAsia="方正仿宋_GBK" w:cs="方正仿宋_GBK"/>
                <w:b w:val="0"/>
                <w:i w:val="0"/>
                <w:snapToGrid/>
                <w:color w:val="000000"/>
                <w:sz w:val="22"/>
                <w:szCs w:val="16"/>
                <w:u w:val="none"/>
                <w:lang w:eastAsia="zh-CN"/>
              </w:rPr>
              <w:t>建立便捷、合理、有效的投诉、举报和应对机制，明确投诉、举报类别、方式以及受理、处理程序、责任主体等。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黑体_GBK" w:hAnsi="方正黑体_GBK" w:eastAsia="方正黑体_GBK" w:cs="方正黑体_GBK"/>
                <w:b w:val="0"/>
                <w:i w:val="0"/>
                <w:snapToGrid/>
                <w:color w:val="000000"/>
                <w:sz w:val="22"/>
                <w:szCs w:val="16"/>
                <w:u w:val="none"/>
                <w:lang w:eastAsia="zh-CN"/>
              </w:rPr>
              <w:t>政府保护</w:t>
            </w:r>
          </w:p>
        </w:tc>
        <w:tc>
          <w:tcPr>
            <w:tcW w:w="1344"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生活保障</w:t>
            </w:r>
          </w:p>
        </w:tc>
        <w:tc>
          <w:tcPr>
            <w:tcW w:w="1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建立孤儿和事实无人抚养儿童基本生活补贴标准动态增长机制。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教育保障</w:t>
            </w:r>
          </w:p>
        </w:tc>
        <w:tc>
          <w:tcPr>
            <w:tcW w:w="11294" w:type="dxa"/>
            <w:tcBorders>
              <w:top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保障农业转移人口随迁子女平等享有基本公共教育服务，进一步落实家庭经济困难儿童教育资助政策和义务教育阶段“两免一补”政策。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129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val="en-US" w:eastAsia="zh-CN"/>
              </w:rPr>
            </w:pPr>
            <w:r>
              <w:rPr>
                <w:rFonts w:hint="eastAsia" w:ascii="方正仿宋_GBK" w:hAnsi="方正仿宋_GBK" w:eastAsia="方正仿宋_GBK" w:cs="方正仿宋_GBK"/>
                <w:b w:val="0"/>
                <w:i w:val="0"/>
                <w:snapToGrid/>
                <w:color w:val="000000"/>
                <w:sz w:val="22"/>
                <w:szCs w:val="16"/>
                <w:u w:val="none"/>
                <w:lang w:val="en-US" w:eastAsia="zh-CN"/>
              </w:rPr>
              <w:t>30</w:t>
            </w:r>
            <w:r>
              <w:rPr>
                <w:rFonts w:hint="eastAsia" w:ascii="方正仿宋_GBK" w:hAnsi="方正仿宋_GBK" w:eastAsia="方正仿宋_GBK" w:cs="方正仿宋_GBK"/>
                <w:b w:val="0"/>
                <w:i w:val="0"/>
                <w:snapToGrid/>
                <w:color w:val="000000"/>
                <w:sz w:val="22"/>
                <w:szCs w:val="16"/>
                <w:u w:val="none"/>
                <w:lang w:eastAsia="zh-CN"/>
              </w:rPr>
              <w:t>万人口以上的县（市、区、旗）有承担特殊教育职能的学校。招收</w:t>
            </w:r>
            <w:r>
              <w:rPr>
                <w:rFonts w:hint="eastAsia" w:ascii="方正仿宋_GBK" w:hAnsi="方正仿宋_GBK" w:eastAsia="方正仿宋_GBK" w:cs="方正仿宋_GBK"/>
                <w:b w:val="0"/>
                <w:i w:val="0"/>
                <w:snapToGrid/>
                <w:color w:val="000000"/>
                <w:sz w:val="22"/>
                <w:szCs w:val="16"/>
                <w:u w:val="none"/>
                <w:lang w:val="en-US" w:eastAsia="zh-CN"/>
              </w:rPr>
              <w:t>5名以上残疾儿童随班就读的普通学校设立特殊教育资源教室，配备设备和专业人员。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jc w:val="center"/>
              <w:outlineLvl w:val="9"/>
              <w:rPr>
                <w:rFonts w:hint="eastAsia" w:ascii="方正仿宋_GBK" w:hAnsi="方正仿宋_GBK" w:eastAsia="方正仿宋_GBK" w:cs="方正仿宋_GBK"/>
                <w:sz w:val="18"/>
                <w:szCs w:val="16"/>
              </w:rPr>
            </w:pPr>
            <w:r>
              <w:rPr>
                <w:rFonts w:hint="eastAsia" w:ascii="方正仿宋_GBK" w:hAnsi="方正仿宋_GBK" w:eastAsia="方正仿宋_GBK" w:cs="方正仿宋_GBK"/>
                <w:color w:val="000000"/>
                <w:sz w:val="22"/>
                <w:szCs w:val="16"/>
                <w:lang w:eastAsia="zh-CN"/>
              </w:rPr>
              <w:t>医疗保障</w:t>
            </w:r>
          </w:p>
        </w:tc>
        <w:tc>
          <w:tcPr>
            <w:tcW w:w="1129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残疾儿童康复救助的年龄范围扩大到</w:t>
            </w:r>
            <w:r>
              <w:rPr>
                <w:rFonts w:hint="default" w:ascii="方正仿宋_GBK" w:hAnsi="方正仿宋_GBK" w:eastAsia="方正仿宋_GBK" w:cs="方正仿宋_GBK"/>
                <w:b w:val="0"/>
                <w:i w:val="0"/>
                <w:snapToGrid/>
                <w:color w:val="000000"/>
                <w:sz w:val="22"/>
                <w:szCs w:val="16"/>
                <w:u w:val="none"/>
                <w:lang w:val="en" w:eastAsia="zh-CN"/>
              </w:rPr>
              <w:t>10</w:t>
            </w:r>
            <w:r>
              <w:rPr>
                <w:rFonts w:hint="eastAsia" w:ascii="方正仿宋_GBK" w:hAnsi="方正仿宋_GBK" w:eastAsia="方正仿宋_GBK" w:cs="方正仿宋_GBK"/>
                <w:b w:val="0"/>
                <w:i w:val="0"/>
                <w:snapToGrid/>
                <w:color w:val="000000"/>
                <w:sz w:val="22"/>
                <w:szCs w:val="16"/>
                <w:u w:val="none"/>
                <w:lang w:eastAsia="zh-CN"/>
              </w:rPr>
              <w:t>周岁以上，放宽对救助对象户籍、家庭经济条件等方面的限制。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jc w:val="center"/>
              <w:outlineLvl w:val="9"/>
              <w:rPr>
                <w:rFonts w:hint="eastAsia" w:ascii="方正仿宋_GBK" w:hAnsi="方正仿宋_GBK" w:eastAsia="方正仿宋_GBK" w:cs="方正仿宋_GBK"/>
                <w:sz w:val="18"/>
                <w:szCs w:val="16"/>
              </w:rPr>
            </w:pPr>
          </w:p>
        </w:tc>
        <w:tc>
          <w:tcPr>
            <w:tcW w:w="1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儿童福利机构依托现有资源，面向社区残疾儿童及其家庭提供康复服务和指导支持。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jc w:val="center"/>
              <w:outlineLvl w:val="9"/>
              <w:rPr>
                <w:rFonts w:hint="eastAsia" w:ascii="方正仿宋_GBK" w:hAnsi="方正仿宋_GBK" w:eastAsia="方正仿宋_GBK" w:cs="方正仿宋_GBK"/>
                <w:sz w:val="18"/>
                <w:szCs w:val="16"/>
              </w:rPr>
            </w:pPr>
          </w:p>
        </w:tc>
        <w:tc>
          <w:tcPr>
            <w:tcW w:w="1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在重度残疾人护理补贴政策基础上，</w:t>
            </w:r>
            <w:r>
              <w:rPr>
                <w:rFonts w:hint="eastAsia" w:ascii="方正仿宋_GBK" w:hAnsi="方正仿宋_GBK" w:eastAsia="方正仿宋_GBK" w:cs="方正仿宋_GBK"/>
                <w:b w:val="0"/>
                <w:i w:val="0"/>
                <w:snapToGrid/>
                <w:color w:val="000000"/>
                <w:sz w:val="22"/>
                <w:szCs w:val="16"/>
                <w:u w:val="none"/>
                <w:lang w:val="en-US" w:eastAsia="zh-CN"/>
              </w:rPr>
              <w:t>面向</w:t>
            </w:r>
            <w:r>
              <w:rPr>
                <w:rFonts w:hint="eastAsia" w:ascii="方正仿宋_GBK" w:hAnsi="方正仿宋_GBK" w:eastAsia="方正仿宋_GBK" w:cs="方正仿宋_GBK"/>
                <w:b w:val="0"/>
                <w:i w:val="0"/>
                <w:snapToGrid/>
                <w:color w:val="000000"/>
                <w:sz w:val="22"/>
                <w:szCs w:val="16"/>
                <w:u w:val="none"/>
                <w:lang w:eastAsia="zh-CN"/>
              </w:rPr>
              <w:t>残疾儿童扩大补贴范围和标准。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exact"/>
        </w:trPr>
        <w:tc>
          <w:tcPr>
            <w:tcW w:w="133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监护落实</w:t>
            </w:r>
          </w:p>
        </w:tc>
        <w:tc>
          <w:tcPr>
            <w:tcW w:w="1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民政部门对符合条件的未成年人承担临时监护和长期监护职责，加强对农村留守儿童的关爱保护，为其父母及受委托监护人履行监护职责提供支持。对流浪未成年人开展有效的救助保护工作，建立工作机制，完善政策制度，明确工作流程。有效开展监护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133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黑体_GBK" w:hAnsi="方正黑体_GBK" w:eastAsia="方正黑体_GBK" w:cs="方正黑体_GBK"/>
                <w:b w:val="0"/>
                <w:i w:val="0"/>
                <w:snapToGrid/>
                <w:color w:val="000000"/>
                <w:sz w:val="22"/>
                <w:szCs w:val="16"/>
                <w:u w:val="none"/>
                <w:lang w:eastAsia="zh-CN"/>
              </w:rPr>
              <w:t>司法保护</w:t>
            </w:r>
          </w:p>
        </w:tc>
        <w:tc>
          <w:tcPr>
            <w:tcW w:w="1344"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办案专门化</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县级人民法院设立少年法庭或指定专门的合议庭、审判团队或者法官审理涉未成年人案件，并实行单独考核管理，建立与未成年人保护工作相适应的评价考核范围和标准。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县级人民检察院设立独立的未成年人检察机构或者有专门的未成年人检察官办案组或者独任检察官，并实行单独考核管理，建立与未成年人保护工作相适应的评价考核范围和标准。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县级公安机关确定专门机构或者指定专门人员，负责办理涉未成年人案件，并实行单独考核管理，建立与未成年人保护工作相适应的评价考核范围和标准。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县级司法行政部门明确专门机构或者指定专门人员，负责涉及未成年人的社区矫正及法律援助，并实行单独考核管理，建立与未成年人保护工作相适应的评价考核范围和标准。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bCs w:val="0"/>
                <w:i w:val="0"/>
                <w:iCs w:val="0"/>
                <w:color w:val="000000"/>
                <w:sz w:val="22"/>
                <w:szCs w:val="16"/>
                <w:u w:val="none"/>
                <w:vertAlign w:val="baseline"/>
                <w:lang w:val="en-US" w:eastAsia="zh-CN"/>
              </w:rPr>
              <w:t>人民法院、</w:t>
            </w:r>
            <w:r>
              <w:rPr>
                <w:rFonts w:hint="eastAsia" w:ascii="方正仿宋_GBK" w:hAnsi="方正仿宋_GBK" w:eastAsia="方正仿宋_GBK" w:cs="方正仿宋_GBK"/>
                <w:b w:val="0"/>
                <w:bCs w:val="0"/>
                <w:i w:val="0"/>
                <w:snapToGrid/>
                <w:color w:val="000000"/>
                <w:sz w:val="22"/>
                <w:szCs w:val="16"/>
                <w:u w:val="none"/>
                <w:lang w:eastAsia="zh-CN"/>
              </w:rPr>
              <w:t>人民检察院、公安机关、司法行政部门配备与未成年人保护工作相适用的办案场所和设施。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特殊保护</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措施</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公安机关加强与人民检察院协作，办理性侵害或者暴力伤害未成年人案件时与人民检察院加强沟通会商。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jc w:val="center"/>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公安机关会同人民检察院、共青团、妇联等部门和单位推进集未成年被害人接受询问、生物样本提取、身体检查、心理疏导等于一体的“一站式”取证、救助机制建设，询问被害人同步录音录像全覆盖，切实提高一次询问的比例，减少二次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特殊保护</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措施</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bCs w:val="0"/>
                <w:i w:val="0"/>
                <w:iCs w:val="0"/>
                <w:color w:val="000000"/>
                <w:sz w:val="22"/>
                <w:szCs w:val="16"/>
                <w:u w:val="none"/>
                <w:vertAlign w:val="baseline"/>
                <w:lang w:val="en-US" w:eastAsia="zh-CN"/>
              </w:rPr>
              <w:t>公安机关、人民检察院、人民法院办理未成年人刑事案件及</w:t>
            </w:r>
            <w:r>
              <w:rPr>
                <w:rFonts w:hint="eastAsia" w:ascii="方正仿宋_GBK" w:hAnsi="方正仿宋_GBK" w:eastAsia="方正仿宋_GBK" w:cs="方正仿宋_GBK"/>
                <w:b w:val="0"/>
                <w:i w:val="0"/>
                <w:snapToGrid/>
                <w:color w:val="000000"/>
                <w:sz w:val="22"/>
                <w:szCs w:val="16"/>
                <w:u w:val="none"/>
                <w:lang w:eastAsia="zh-CN"/>
              </w:rPr>
              <w:t>人民法院审理离婚、抚养、收养、监护、探望等案件涉及未成年人的，从有利于未成年人健康成长的角度出发，推行社会调查、社会观护、心理疏导、司法救助、诉讼教育等制度。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司法监督</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人民检察院督促、支持相关组织和个人代为提起对未成年人合法权益侵害案件的诉讼，涉及公共利益的提起公益诉讼。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 xml:space="preserve">人民法院、人民检察院、公安机关和司法行政部门发现有关单位未尽到未成年人教育、管理、救助、看护等保护职责的，应当向该单位提出建议。被建议单位在一个月内作出书面回复。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color w:val="000000"/>
                <w:sz w:val="22"/>
                <w:szCs w:val="16"/>
                <w:lang w:eastAsia="zh-CN"/>
              </w:rPr>
            </w:pPr>
            <w:r>
              <w:rPr>
                <w:rFonts w:hint="eastAsia" w:ascii="方正仿宋_GBK" w:hAnsi="方正仿宋_GBK" w:eastAsia="方正仿宋_GBK" w:cs="方正仿宋_GBK"/>
                <w:color w:val="000000"/>
                <w:sz w:val="22"/>
                <w:szCs w:val="16"/>
                <w:lang w:eastAsia="zh-CN"/>
              </w:rPr>
              <w:t>法治宣传</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sz w:val="18"/>
                <w:szCs w:val="16"/>
                <w:lang w:eastAsia="zh-CN"/>
              </w:rPr>
            </w:pPr>
            <w:r>
              <w:rPr>
                <w:rFonts w:hint="eastAsia" w:ascii="方正仿宋_GBK" w:hAnsi="方正仿宋_GBK" w:eastAsia="方正仿宋_GBK" w:cs="方正仿宋_GBK"/>
                <w:color w:val="000000"/>
                <w:sz w:val="22"/>
                <w:szCs w:val="16"/>
                <w:lang w:eastAsia="zh-CN"/>
              </w:rPr>
              <w:t>教育</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bCs w:val="0"/>
                <w:i w:val="0"/>
                <w:snapToGrid/>
                <w:color w:val="000000"/>
                <w:sz w:val="22"/>
                <w:szCs w:val="16"/>
                <w:u w:val="none"/>
                <w:lang w:eastAsia="zh-CN"/>
              </w:rPr>
              <w:t>人民法院、人民检察院、公安机关、司法行政部门结合各自工作职责、特点和实际，</w:t>
            </w:r>
            <w:r>
              <w:rPr>
                <w:rFonts w:hint="eastAsia" w:ascii="方正仿宋_GBK" w:hAnsi="方正仿宋_GBK" w:eastAsia="方正仿宋_GBK" w:cs="方正仿宋_GBK"/>
                <w:b w:val="0"/>
                <w:bCs w:val="0"/>
                <w:i w:val="0"/>
                <w:iCs w:val="0"/>
                <w:color w:val="000000"/>
                <w:sz w:val="22"/>
                <w:szCs w:val="16"/>
                <w:u w:val="none"/>
                <w:vertAlign w:val="baseline"/>
                <w:lang w:val="en-US" w:eastAsia="zh-CN"/>
              </w:rPr>
              <w:t>根据涉未成年人案件的特点，</w:t>
            </w:r>
            <w:r>
              <w:rPr>
                <w:rFonts w:hint="eastAsia" w:ascii="方正仿宋_GBK" w:hAnsi="方正仿宋_GBK" w:eastAsia="方正仿宋_GBK" w:cs="方正仿宋_GBK"/>
                <w:b w:val="0"/>
                <w:bCs w:val="0"/>
                <w:i w:val="0"/>
                <w:snapToGrid/>
                <w:color w:val="000000"/>
                <w:sz w:val="22"/>
                <w:szCs w:val="16"/>
                <w:u w:val="none"/>
                <w:lang w:eastAsia="zh-CN"/>
              </w:rPr>
              <w:t>开展内容丰富、形式多样的法治宣传教育，增强未成年人的法律意识和自我保护能力。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34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社会支持</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bCs w:val="0"/>
                <w:i w:val="0"/>
                <w:iCs w:val="0"/>
                <w:color w:val="000000"/>
                <w:sz w:val="22"/>
                <w:szCs w:val="16"/>
                <w:u w:val="none"/>
                <w:vertAlign w:val="baseline"/>
                <w:lang w:val="en-US" w:eastAsia="zh-CN"/>
              </w:rPr>
              <w:t>支持青少年事务社工机构、相关社会组织参与涉未成年人案件中未成年人的心理干预、法律援助、社会调查、社会观护、教育矫治、社区矫正工作。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黑体_GBK" w:hAnsi="方正黑体_GBK" w:eastAsia="方正黑体_GBK" w:cs="方正黑体_GBK"/>
                <w:b w:val="0"/>
                <w:i w:val="0"/>
                <w:snapToGrid/>
                <w:color w:val="000000"/>
                <w:sz w:val="22"/>
                <w:szCs w:val="16"/>
                <w:u w:val="none"/>
                <w:lang w:eastAsia="zh-CN"/>
              </w:rPr>
              <w:t>机构建设</w:t>
            </w:r>
          </w:p>
        </w:tc>
        <w:tc>
          <w:tcPr>
            <w:tcW w:w="1344"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机构设置</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落实《中华人民共和国未成年人保护法》和《国务院未成年人保护工作领导小组关于加强未成年人保护工作的意见》要求，加强未成年人救助保护机构建设，工作制度健全，工作职能有效发挥。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落实《中华人民共和国未成年人保护法》和《国务院未成年人保护工作领导小组关于加强未成年人保护工作的意见》及“十四五”民政事业发展规划要求，</w:t>
            </w:r>
            <w:r>
              <w:rPr>
                <w:rFonts w:hint="eastAsia" w:ascii="方正仿宋_GBK" w:hAnsi="方正仿宋_GBK" w:eastAsia="方正仿宋_GBK" w:cs="方正仿宋_GBK"/>
                <w:b w:val="0"/>
                <w:i w:val="0"/>
                <w:snapToGrid/>
                <w:color w:val="000000"/>
                <w:sz w:val="22"/>
                <w:szCs w:val="16"/>
                <w:u w:val="none"/>
                <w:lang w:val="en-US" w:eastAsia="zh-CN"/>
              </w:rPr>
              <w:t>县域50%以上</w:t>
            </w:r>
            <w:r>
              <w:rPr>
                <w:rFonts w:hint="eastAsia" w:ascii="方正仿宋_GBK" w:hAnsi="方正仿宋_GBK" w:eastAsia="方正仿宋_GBK" w:cs="方正仿宋_GBK"/>
                <w:b w:val="0"/>
                <w:i w:val="0"/>
                <w:snapToGrid/>
                <w:color w:val="000000"/>
                <w:sz w:val="22"/>
                <w:szCs w:val="16"/>
                <w:u w:val="none"/>
                <w:lang w:eastAsia="zh-CN"/>
              </w:rPr>
              <w:t>乡镇（街道）设立未成年人保护工作站，明确工作职责，并建立相应工作制度。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服务场所</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支持公益性未成年人活动场所和设施的建设和运行，对未成年人免费或优惠开放，并在售票窗口明确标示。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jc w:val="center"/>
              <w:outlineLvl w:val="9"/>
              <w:rPr>
                <w:rFonts w:hint="eastAsia" w:ascii="方正仿宋_GBK" w:hAnsi="方正仿宋_GBK" w:eastAsia="方正仿宋_GBK" w:cs="方正仿宋_GBK"/>
                <w:sz w:val="18"/>
                <w:szCs w:val="16"/>
                <w:lang w:val="en" w:eastAsia="zh-CN"/>
              </w:rPr>
            </w:pPr>
            <w:r>
              <w:rPr>
                <w:rFonts w:hint="eastAsia" w:ascii="方正仿宋_GBK" w:hAnsi="方正仿宋_GBK" w:eastAsia="方正仿宋_GBK" w:cs="方正仿宋_GBK"/>
                <w:color w:val="000000"/>
                <w:sz w:val="22"/>
                <w:szCs w:val="16"/>
                <w:lang w:val="en" w:eastAsia="zh-CN"/>
              </w:rPr>
              <w:t>服务场所</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90%以上城乡社区建立未成年人关爱服务场所，每周开放应不少于</w:t>
            </w:r>
            <w:r>
              <w:rPr>
                <w:rFonts w:hint="eastAsia" w:ascii="方正仿宋_GBK" w:hAnsi="方正仿宋_GBK" w:eastAsia="方正仿宋_GBK" w:cs="方正仿宋_GBK"/>
                <w:b w:val="0"/>
                <w:i w:val="0"/>
                <w:snapToGrid/>
                <w:color w:val="000000"/>
                <w:sz w:val="22"/>
                <w:szCs w:val="16"/>
                <w:u w:val="none"/>
                <w:lang w:val="en-US" w:eastAsia="zh-CN"/>
              </w:rPr>
              <w:t>5天，节假日至少开放1天，每次开放不少于3个小时。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社会组织</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val="en-US" w:eastAsia="zh-CN"/>
              </w:rPr>
              <w:t>通过</w:t>
            </w:r>
            <w:r>
              <w:rPr>
                <w:rFonts w:hint="eastAsia" w:ascii="方正仿宋_GBK" w:hAnsi="方正仿宋_GBK" w:eastAsia="方正仿宋_GBK" w:cs="方正仿宋_GBK"/>
                <w:b w:val="0"/>
                <w:i w:val="0"/>
                <w:snapToGrid/>
                <w:color w:val="000000"/>
                <w:sz w:val="22"/>
                <w:szCs w:val="16"/>
                <w:u w:val="none"/>
                <w:lang w:eastAsia="zh-CN"/>
              </w:rPr>
              <w:t>财政资助、落实税收优惠政策、提供办公场所等</w:t>
            </w:r>
            <w:r>
              <w:rPr>
                <w:rFonts w:hint="eastAsia" w:ascii="方正仿宋_GBK" w:hAnsi="方正仿宋_GBK" w:eastAsia="方正仿宋_GBK" w:cs="方正仿宋_GBK"/>
                <w:b w:val="0"/>
                <w:bCs w:val="0"/>
                <w:i w:val="0"/>
                <w:iCs w:val="0"/>
                <w:color w:val="000000"/>
                <w:sz w:val="22"/>
                <w:szCs w:val="16"/>
                <w:u w:val="none"/>
                <w:vertAlign w:val="baseline"/>
                <w:lang w:val="en-US" w:eastAsia="zh-CN"/>
              </w:rPr>
              <w:t>扶持措施，支持引导至少2家社会组织</w:t>
            </w:r>
            <w:r>
              <w:rPr>
                <w:rFonts w:hint="eastAsia" w:ascii="方正仿宋_GBK" w:hAnsi="方正仿宋_GBK" w:eastAsia="方正仿宋_GBK" w:cs="方正仿宋_GBK"/>
                <w:b w:val="0"/>
                <w:i w:val="0"/>
                <w:snapToGrid/>
                <w:color w:val="000000"/>
                <w:sz w:val="22"/>
                <w:szCs w:val="16"/>
                <w:u w:val="none"/>
                <w:lang w:eastAsia="zh-CN"/>
              </w:rPr>
              <w:t>或社会工作服务机构</w:t>
            </w:r>
            <w:r>
              <w:rPr>
                <w:rFonts w:hint="eastAsia" w:ascii="方正仿宋_GBK" w:hAnsi="方正仿宋_GBK" w:eastAsia="方正仿宋_GBK" w:cs="方正仿宋_GBK"/>
                <w:b w:val="0"/>
                <w:bCs w:val="0"/>
                <w:i w:val="0"/>
                <w:iCs w:val="0"/>
                <w:color w:val="000000"/>
                <w:sz w:val="22"/>
                <w:szCs w:val="16"/>
                <w:u w:val="none"/>
                <w:vertAlign w:val="baseline"/>
                <w:lang w:val="en-US" w:eastAsia="zh-CN"/>
              </w:rPr>
              <w:t>开展未成年人保护领域的专业服务</w:t>
            </w:r>
            <w:r>
              <w:rPr>
                <w:rFonts w:hint="eastAsia" w:ascii="方正仿宋_GBK" w:hAnsi="方正仿宋_GBK" w:eastAsia="方正仿宋_GBK" w:cs="方正仿宋_GBK"/>
                <w:b w:val="0"/>
                <w:i w:val="0"/>
                <w:snapToGrid/>
                <w:color w:val="000000"/>
                <w:sz w:val="22"/>
                <w:szCs w:val="16"/>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黑体_GBK" w:hAnsi="方正黑体_GBK" w:eastAsia="方正黑体_GBK" w:cs="方正黑体_GBK"/>
                <w:b w:val="0"/>
                <w:i w:val="0"/>
                <w:snapToGrid/>
                <w:color w:val="000000"/>
                <w:sz w:val="22"/>
                <w:szCs w:val="16"/>
                <w:u w:val="none"/>
                <w:lang w:eastAsia="zh-CN"/>
              </w:rPr>
              <w:t>队伍建设</w:t>
            </w:r>
          </w:p>
        </w:tc>
        <w:tc>
          <w:tcPr>
            <w:tcW w:w="1344"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人员配备</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乡镇人民政府和街道办事处指定专门工作人员担任儿童督导员，负责及时办理未成年人相关事务。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通过设置公益岗位、购买社会工作服务等方式在乡镇未成年人保护工作站配备至少</w:t>
            </w:r>
            <w:r>
              <w:rPr>
                <w:rFonts w:hint="eastAsia" w:ascii="方正仿宋_GBK" w:hAnsi="方正仿宋_GBK" w:eastAsia="方正仿宋_GBK" w:cs="方正仿宋_GBK"/>
                <w:b w:val="0"/>
                <w:i w:val="0"/>
                <w:snapToGrid/>
                <w:color w:val="000000"/>
                <w:sz w:val="22"/>
                <w:szCs w:val="16"/>
                <w:u w:val="none"/>
                <w:lang w:val="en-US" w:eastAsia="zh-CN"/>
              </w:rPr>
              <w:t>1</w:t>
            </w:r>
            <w:r>
              <w:rPr>
                <w:rFonts w:hint="eastAsia" w:ascii="方正仿宋_GBK" w:hAnsi="方正仿宋_GBK" w:eastAsia="方正仿宋_GBK" w:cs="方正仿宋_GBK"/>
                <w:b w:val="0"/>
                <w:i w:val="0"/>
                <w:snapToGrid/>
                <w:color w:val="000000"/>
                <w:sz w:val="22"/>
                <w:szCs w:val="16"/>
                <w:u w:val="none"/>
                <w:lang w:eastAsia="zh-CN"/>
              </w:rPr>
              <w:t>名</w:t>
            </w:r>
            <w:r>
              <w:rPr>
                <w:rFonts w:hint="eastAsia" w:ascii="方正仿宋_GBK" w:hAnsi="方正仿宋_GBK" w:eastAsia="方正仿宋_GBK" w:cs="方正仿宋_GBK"/>
                <w:b w:val="0"/>
                <w:bCs w:val="0"/>
                <w:i w:val="0"/>
                <w:iCs w:val="0"/>
                <w:color w:val="000000"/>
                <w:sz w:val="22"/>
                <w:szCs w:val="16"/>
                <w:u w:val="none"/>
                <w:vertAlign w:val="baseline"/>
                <w:lang w:val="en-US" w:eastAsia="zh-CN"/>
              </w:rPr>
              <w:t>青少年事务</w:t>
            </w:r>
            <w:r>
              <w:rPr>
                <w:rFonts w:hint="eastAsia" w:ascii="方正仿宋_GBK" w:hAnsi="方正仿宋_GBK" w:eastAsia="方正仿宋_GBK" w:cs="方正仿宋_GBK"/>
                <w:b w:val="0"/>
                <w:i w:val="0"/>
                <w:snapToGrid/>
                <w:color w:val="000000"/>
                <w:sz w:val="22"/>
                <w:szCs w:val="16"/>
                <w:u w:val="none"/>
                <w:lang w:eastAsia="zh-CN"/>
              </w:rPr>
              <w:t>社工</w:t>
            </w:r>
            <w:r>
              <w:rPr>
                <w:rFonts w:hint="eastAsia" w:ascii="方正仿宋_GBK" w:hAnsi="方正仿宋_GBK" w:eastAsia="方正仿宋_GBK" w:cs="方正仿宋_GBK"/>
                <w:b w:val="0"/>
                <w:i w:val="0"/>
                <w:snapToGrid/>
                <w:color w:val="000000"/>
                <w:sz w:val="22"/>
                <w:szCs w:val="16"/>
                <w:u w:val="none"/>
                <w:lang w:val="en-US" w:eastAsia="zh-CN"/>
              </w:rPr>
              <w:t>开展未成年人保护服务</w:t>
            </w:r>
            <w:r>
              <w:rPr>
                <w:rFonts w:hint="eastAsia" w:ascii="方正仿宋_GBK" w:hAnsi="方正仿宋_GBK" w:eastAsia="方正仿宋_GBK" w:cs="方正仿宋_GBK"/>
                <w:b w:val="0"/>
                <w:i w:val="0"/>
                <w:snapToGrid/>
                <w:color w:val="000000"/>
                <w:sz w:val="22"/>
                <w:szCs w:val="16"/>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每个村（社区）至少设立</w:t>
            </w:r>
            <w:r>
              <w:rPr>
                <w:rFonts w:hint="eastAsia" w:ascii="方正仿宋_GBK" w:hAnsi="方正仿宋_GBK" w:eastAsia="方正仿宋_GBK" w:cs="方正仿宋_GBK"/>
                <w:b w:val="0"/>
                <w:i w:val="0"/>
                <w:snapToGrid/>
                <w:color w:val="000000"/>
                <w:sz w:val="22"/>
                <w:szCs w:val="16"/>
                <w:u w:val="none"/>
                <w:lang w:val="en-US" w:eastAsia="zh-CN"/>
              </w:rPr>
              <w:t>1</w:t>
            </w:r>
            <w:r>
              <w:rPr>
                <w:rFonts w:hint="eastAsia" w:ascii="方正仿宋_GBK" w:hAnsi="方正仿宋_GBK" w:eastAsia="方正仿宋_GBK" w:cs="方正仿宋_GBK"/>
                <w:b w:val="0"/>
                <w:i w:val="0"/>
                <w:snapToGrid/>
                <w:color w:val="000000"/>
                <w:sz w:val="22"/>
                <w:szCs w:val="16"/>
                <w:u w:val="none"/>
                <w:lang w:eastAsia="zh-CN"/>
              </w:rPr>
              <w:t>名儿童主任，未成年人数量较多的，应根据实际情况增配力量。优先由村（居）民委员会女性委员或村（社区）妇联主席担任，负责未成年人保护工作</w:t>
            </w:r>
            <w:r>
              <w:rPr>
                <w:rFonts w:hint="eastAsia" w:ascii="方正仿宋_GBK" w:hAnsi="方正仿宋_GBK" w:eastAsia="方正仿宋_GBK" w:cs="方正仿宋_GBK"/>
                <w:b w:val="0"/>
                <w:i w:val="0"/>
                <w:snapToGrid/>
                <w:color w:val="000000"/>
                <w:sz w:val="22"/>
                <w:szCs w:val="16"/>
                <w:u w:val="none"/>
                <w:lang w:val="en-US" w:eastAsia="zh-CN"/>
              </w:rPr>
              <w:t>及</w:t>
            </w:r>
            <w:r>
              <w:rPr>
                <w:rFonts w:hint="eastAsia" w:ascii="方正仿宋_GBK" w:hAnsi="方正仿宋_GBK" w:eastAsia="方正仿宋_GBK" w:cs="方正仿宋_GBK"/>
                <w:b w:val="0"/>
                <w:i w:val="0"/>
                <w:snapToGrid/>
                <w:color w:val="000000"/>
                <w:sz w:val="22"/>
                <w:szCs w:val="16"/>
                <w:u w:val="none"/>
                <w:lang w:eastAsia="zh-CN"/>
              </w:rPr>
              <w:t>相关服务场所管理，配合乡镇（街道）和村（居）民委员会调动社会工作者、社区社会组织、社区志愿者、社区公益慈善资源联动开展关爱服务活动。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明确儿童督导员、儿童主任的岗位要求、工作考核</w:t>
            </w:r>
            <w:r>
              <w:rPr>
                <w:rFonts w:hint="eastAsia" w:ascii="方正仿宋_GBK" w:hAnsi="方正仿宋_GBK" w:eastAsia="方正仿宋_GBK" w:cs="方正仿宋_GBK"/>
                <w:b w:val="0"/>
                <w:i w:val="0"/>
                <w:snapToGrid/>
                <w:color w:val="000000"/>
                <w:sz w:val="22"/>
                <w:szCs w:val="16"/>
                <w:u w:val="none"/>
                <w:lang w:val="en-US" w:eastAsia="zh-CN"/>
              </w:rPr>
              <w:t>激励</w:t>
            </w:r>
            <w:r>
              <w:rPr>
                <w:rFonts w:hint="eastAsia" w:ascii="方正仿宋_GBK" w:hAnsi="方正仿宋_GBK" w:eastAsia="方正仿宋_GBK" w:cs="方正仿宋_GBK"/>
                <w:b w:val="0"/>
                <w:i w:val="0"/>
                <w:snapToGrid/>
                <w:color w:val="000000"/>
                <w:sz w:val="22"/>
                <w:szCs w:val="16"/>
                <w:u w:val="none"/>
                <w:lang w:eastAsia="zh-CN"/>
              </w:rPr>
              <w:t>机制、津补贴制度，鼓励其考取社会工作职业资格。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根据所服务的未成年人数量，通过设置公益岗位、购买社会组织服务等方式，在未成年人救助保护机构按适当比例配备社会工作者，并将社会工作专业岗位纳入专业技术系列管理范围。</w:t>
            </w:r>
            <w:r>
              <w:rPr>
                <w:rFonts w:hint="eastAsia" w:ascii="方正仿宋_GBK" w:hAnsi="方正仿宋_GBK" w:eastAsia="方正仿宋_GBK" w:cs="方正仿宋_GBK"/>
                <w:i w:val="0"/>
                <w:caps w:val="0"/>
                <w:color w:val="000000"/>
                <w:spacing w:val="0"/>
                <w:kern w:val="2"/>
                <w:sz w:val="22"/>
                <w:szCs w:val="16"/>
                <w:shd w:val="clear" w:color="auto" w:fill="auto"/>
                <w:lang w:val="en-US" w:eastAsia="zh-CN" w:bidi="ar"/>
              </w:rPr>
              <w:t>各村（社区）培育发展一支未成年人保护志愿服务队伍。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能力提升</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儿童主任和儿童督导员在新任职</w:t>
            </w:r>
            <w:r>
              <w:rPr>
                <w:rFonts w:hint="eastAsia" w:ascii="方正仿宋_GBK" w:hAnsi="方正仿宋_GBK" w:eastAsia="方正仿宋_GBK" w:cs="方正仿宋_GBK"/>
                <w:b w:val="0"/>
                <w:i w:val="0"/>
                <w:snapToGrid/>
                <w:color w:val="000000"/>
                <w:sz w:val="22"/>
                <w:szCs w:val="16"/>
                <w:u w:val="none"/>
                <w:lang w:val="en-US" w:eastAsia="zh-CN"/>
              </w:rPr>
              <w:t>3个月内接受入职培训，并</w:t>
            </w:r>
            <w:r>
              <w:rPr>
                <w:rFonts w:hint="eastAsia" w:ascii="方正仿宋_GBK" w:hAnsi="方正仿宋_GBK" w:eastAsia="方正仿宋_GBK" w:cs="方正仿宋_GBK"/>
                <w:b w:val="0"/>
                <w:i w:val="0"/>
                <w:snapToGrid/>
                <w:color w:val="000000"/>
                <w:sz w:val="22"/>
                <w:szCs w:val="16"/>
                <w:u w:val="none"/>
                <w:lang w:eastAsia="zh-CN"/>
              </w:rPr>
              <w:t>每年至少轮训</w:t>
            </w:r>
            <w:r>
              <w:rPr>
                <w:rFonts w:hint="eastAsia" w:ascii="方正仿宋_GBK" w:hAnsi="方正仿宋_GBK" w:eastAsia="方正仿宋_GBK" w:cs="方正仿宋_GBK"/>
                <w:b w:val="0"/>
                <w:i w:val="0"/>
                <w:snapToGrid/>
                <w:color w:val="000000"/>
                <w:sz w:val="22"/>
                <w:szCs w:val="16"/>
                <w:u w:val="none"/>
                <w:lang w:val="en-US" w:eastAsia="zh-CN"/>
              </w:rPr>
              <w:t>1</w:t>
            </w:r>
            <w:r>
              <w:rPr>
                <w:rFonts w:hint="eastAsia" w:ascii="方正仿宋_GBK" w:hAnsi="方正仿宋_GBK" w:eastAsia="方正仿宋_GBK" w:cs="方正仿宋_GBK"/>
                <w:b w:val="0"/>
                <w:i w:val="0"/>
                <w:snapToGrid/>
                <w:color w:val="000000"/>
                <w:sz w:val="22"/>
                <w:szCs w:val="16"/>
                <w:u w:val="none"/>
                <w:lang w:eastAsia="zh-CN"/>
              </w:rPr>
              <w:t>次，每次培训，儿童社会工作相关课程不少于</w:t>
            </w:r>
            <w:r>
              <w:rPr>
                <w:rFonts w:hint="eastAsia" w:ascii="方正仿宋_GBK" w:hAnsi="方正仿宋_GBK" w:eastAsia="方正仿宋_GBK" w:cs="方正仿宋_GBK"/>
                <w:b w:val="0"/>
                <w:i w:val="0"/>
                <w:snapToGrid/>
                <w:color w:val="000000"/>
                <w:sz w:val="22"/>
                <w:szCs w:val="16"/>
                <w:u w:val="none"/>
                <w:lang w:val="en-US" w:eastAsia="zh-CN"/>
              </w:rPr>
              <w:t>50%，</w:t>
            </w:r>
            <w:r>
              <w:rPr>
                <w:rFonts w:hint="eastAsia" w:ascii="方正仿宋_GBK" w:hAnsi="方正仿宋_GBK" w:eastAsia="方正仿宋_GBK" w:cs="方正仿宋_GBK"/>
                <w:b w:val="0"/>
                <w:i w:val="0"/>
                <w:snapToGrid/>
                <w:color w:val="000000"/>
                <w:sz w:val="22"/>
                <w:szCs w:val="16"/>
                <w:u w:val="none"/>
                <w:lang w:eastAsia="zh-CN"/>
              </w:rPr>
              <w:t>培训资料保存完好。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337"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344" w:type="dxa"/>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人民法院、人民检察院、公安、民政、教育、卫生健康、司法等部门及其他密切接触未成年人的单位安排强制报告责任人员在入职</w:t>
            </w:r>
            <w:r>
              <w:rPr>
                <w:rFonts w:hint="eastAsia" w:ascii="方正仿宋_GBK" w:hAnsi="方正仿宋_GBK" w:eastAsia="方正仿宋_GBK" w:cs="方正仿宋_GBK"/>
                <w:b w:val="0"/>
                <w:i w:val="0"/>
                <w:snapToGrid/>
                <w:color w:val="000000"/>
                <w:sz w:val="22"/>
                <w:szCs w:val="16"/>
                <w:u w:val="none"/>
                <w:lang w:val="en-US" w:eastAsia="zh-CN"/>
              </w:rPr>
              <w:t>3</w:t>
            </w:r>
            <w:r>
              <w:rPr>
                <w:rFonts w:hint="eastAsia" w:ascii="方正仿宋_GBK" w:hAnsi="方正仿宋_GBK" w:eastAsia="方正仿宋_GBK" w:cs="方正仿宋_GBK"/>
                <w:b w:val="0"/>
                <w:i w:val="0"/>
                <w:snapToGrid/>
                <w:color w:val="000000"/>
                <w:sz w:val="22"/>
                <w:szCs w:val="16"/>
                <w:u w:val="none"/>
                <w:lang w:eastAsia="zh-CN"/>
              </w:rPr>
              <w:t>个月内接受强制报告制度相关培训，并每年至少轮训</w:t>
            </w:r>
            <w:r>
              <w:rPr>
                <w:rFonts w:hint="eastAsia" w:ascii="方正仿宋_GBK" w:hAnsi="方正仿宋_GBK" w:eastAsia="方正仿宋_GBK" w:cs="方正仿宋_GBK"/>
                <w:b w:val="0"/>
                <w:i w:val="0"/>
                <w:snapToGrid/>
                <w:color w:val="000000"/>
                <w:sz w:val="22"/>
                <w:szCs w:val="16"/>
                <w:u w:val="none"/>
                <w:lang w:val="en-US" w:eastAsia="zh-CN"/>
              </w:rPr>
              <w:t>1</w:t>
            </w:r>
            <w:r>
              <w:rPr>
                <w:rFonts w:hint="eastAsia" w:ascii="方正仿宋_GBK" w:hAnsi="方正仿宋_GBK" w:eastAsia="方正仿宋_GBK" w:cs="方正仿宋_GBK"/>
                <w:b w:val="0"/>
                <w:i w:val="0"/>
                <w:snapToGrid/>
                <w:color w:val="000000"/>
                <w:sz w:val="22"/>
                <w:szCs w:val="16"/>
                <w:u w:val="none"/>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681" w:type="dxa"/>
            <w:gridSpan w:val="2"/>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黑体_GBK" w:hAnsi="方正黑体_GBK" w:eastAsia="方正黑体_GBK" w:cs="方正黑体_GBK"/>
                <w:b w:val="0"/>
                <w:i w:val="0"/>
                <w:snapToGrid/>
                <w:color w:val="000000"/>
                <w:sz w:val="22"/>
                <w:szCs w:val="16"/>
                <w:u w:val="none"/>
                <w:lang w:eastAsia="zh-CN"/>
              </w:rPr>
              <w:t>负面工作清单项</w:t>
            </w: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申报前</w:t>
            </w:r>
            <w:r>
              <w:rPr>
                <w:rFonts w:hint="eastAsia" w:ascii="方正仿宋_GBK" w:hAnsi="方正仿宋_GBK" w:eastAsia="方正仿宋_GBK" w:cs="方正仿宋_GBK"/>
                <w:b w:val="0"/>
                <w:i w:val="0"/>
                <w:snapToGrid/>
                <w:color w:val="000000"/>
                <w:sz w:val="22"/>
                <w:szCs w:val="16"/>
                <w:u w:val="none"/>
                <w:lang w:val="en-US" w:eastAsia="zh-CN"/>
              </w:rPr>
              <w:t>2</w:t>
            </w:r>
            <w:r>
              <w:rPr>
                <w:rFonts w:hint="eastAsia" w:ascii="方正仿宋_GBK" w:hAnsi="方正仿宋_GBK" w:eastAsia="方正仿宋_GBK" w:cs="方正仿宋_GBK"/>
                <w:b w:val="0"/>
                <w:i w:val="0"/>
                <w:snapToGrid/>
                <w:color w:val="000000"/>
                <w:sz w:val="22"/>
                <w:szCs w:val="16"/>
                <w:u w:val="none"/>
                <w:lang w:eastAsia="zh-CN"/>
              </w:rPr>
              <w:t>年间，因履职不力导致发生性侵害、虐待、儿童拐卖等涉及</w:t>
            </w:r>
            <w:r>
              <w:rPr>
                <w:rFonts w:hint="eastAsia" w:ascii="方正仿宋_GBK" w:hAnsi="方正仿宋_GBK" w:eastAsia="方正仿宋_GBK" w:cs="方正仿宋_GBK"/>
                <w:b w:val="0"/>
                <w:i w:val="0"/>
                <w:snapToGrid/>
                <w:color w:val="000000"/>
                <w:sz w:val="22"/>
                <w:szCs w:val="16"/>
                <w:u w:val="none"/>
                <w:lang w:val="en-US" w:eastAsia="zh-CN"/>
              </w:rPr>
              <w:t>未成年人</w:t>
            </w:r>
            <w:r>
              <w:rPr>
                <w:rFonts w:hint="eastAsia" w:ascii="方正仿宋_GBK" w:hAnsi="方正仿宋_GBK" w:eastAsia="方正仿宋_GBK" w:cs="方正仿宋_GBK"/>
                <w:b w:val="0"/>
                <w:i w:val="0"/>
                <w:snapToGrid/>
                <w:color w:val="000000"/>
                <w:sz w:val="22"/>
                <w:szCs w:val="16"/>
                <w:u w:val="none"/>
                <w:lang w:eastAsia="zh-CN"/>
              </w:rPr>
              <w:t>的重大案件或重大安全事故，造成恶劣社会影响的。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681" w:type="dxa"/>
            <w:gridSpan w:val="2"/>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存在履职不力，对未依法落实</w:t>
            </w:r>
            <w:r>
              <w:rPr>
                <w:rFonts w:hint="eastAsia" w:ascii="方正仿宋_GBK" w:hAnsi="方正仿宋_GBK" w:eastAsia="方正仿宋_GBK" w:cs="方正仿宋_GBK"/>
                <w:b w:val="0"/>
                <w:i w:val="0"/>
                <w:snapToGrid/>
                <w:color w:val="000000"/>
                <w:sz w:val="22"/>
                <w:szCs w:val="16"/>
                <w:u w:val="none"/>
                <w:lang w:val="en-US" w:eastAsia="zh-CN"/>
              </w:rPr>
              <w:t>未成年人</w:t>
            </w:r>
            <w:r>
              <w:rPr>
                <w:rFonts w:hint="eastAsia" w:ascii="方正仿宋_GBK" w:hAnsi="方正仿宋_GBK" w:eastAsia="方正仿宋_GBK" w:cs="方正仿宋_GBK"/>
                <w:b w:val="0"/>
                <w:i w:val="0"/>
                <w:snapToGrid/>
                <w:color w:val="000000"/>
                <w:sz w:val="22"/>
                <w:szCs w:val="16"/>
                <w:u w:val="none"/>
                <w:lang w:eastAsia="zh-CN"/>
              </w:rPr>
              <w:t>监护责任失察失责、造成严重后果的。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681" w:type="dxa"/>
            <w:gridSpan w:val="2"/>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存在孤儿、事实无人抚养儿童及其他困境</w:t>
            </w:r>
            <w:r>
              <w:rPr>
                <w:rFonts w:hint="eastAsia" w:ascii="方正仿宋_GBK" w:hAnsi="方正仿宋_GBK" w:eastAsia="方正仿宋_GBK" w:cs="方正仿宋_GBK"/>
                <w:b w:val="0"/>
                <w:i w:val="0"/>
                <w:snapToGrid/>
                <w:color w:val="000000"/>
                <w:sz w:val="22"/>
                <w:szCs w:val="16"/>
                <w:u w:val="none"/>
                <w:lang w:val="en-US" w:eastAsia="zh-CN"/>
              </w:rPr>
              <w:t>儿童</w:t>
            </w:r>
            <w:r>
              <w:rPr>
                <w:rFonts w:hint="eastAsia" w:ascii="方正仿宋_GBK" w:hAnsi="方正仿宋_GBK" w:eastAsia="方正仿宋_GBK" w:cs="方正仿宋_GBK"/>
                <w:b w:val="0"/>
                <w:i w:val="0"/>
                <w:snapToGrid/>
                <w:color w:val="000000"/>
                <w:sz w:val="22"/>
                <w:szCs w:val="16"/>
                <w:u w:val="none"/>
                <w:lang w:eastAsia="zh-CN"/>
              </w:rPr>
              <w:t>保障资金、保障政策没有落实到位或违法违规发放资金、享受政策的。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681" w:type="dxa"/>
            <w:gridSpan w:val="2"/>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存在履职不力，导致未成年人未办理户籍登记的。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681" w:type="dxa"/>
            <w:gridSpan w:val="2"/>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违反国家规定开除、变相开除义务教育阶段未成年学生的。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681" w:type="dxa"/>
            <w:gridSpan w:val="2"/>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存在履职不力，导致发生未成年人实习实训安全事故或损害未成年人合法权益的。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681" w:type="dxa"/>
            <w:gridSpan w:val="2"/>
            <w:vMerge w:val="continue"/>
            <w:noWrap w:val="0"/>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exact"/>
              <w:ind w:left="0" w:leftChars="0" w:right="0" w:rightChars="0" w:firstLine="0" w:firstLineChars="0"/>
              <w:outlineLvl w:val="9"/>
              <w:rPr>
                <w:rFonts w:hint="eastAsia" w:ascii="方正仿宋_GBK" w:hAnsi="方正仿宋_GBK" w:eastAsia="方正仿宋_GBK" w:cs="方正仿宋_GBK"/>
                <w:sz w:val="18"/>
                <w:szCs w:val="16"/>
              </w:rPr>
            </w:pPr>
          </w:p>
        </w:tc>
        <w:tc>
          <w:tcPr>
            <w:tcW w:w="11294" w:type="dxa"/>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60" w:lineRule="exact"/>
              <w:ind w:left="0" w:leftChars="0" w:right="0" w:rightChars="0" w:firstLine="0" w:firstLineChars="0"/>
              <w:jc w:val="both"/>
              <w:textAlignment w:val="center"/>
              <w:outlineLvl w:val="9"/>
              <w:rPr>
                <w:rFonts w:hint="eastAsia" w:ascii="方正仿宋_GBK" w:hAnsi="方正仿宋_GBK" w:eastAsia="方正仿宋_GBK" w:cs="方正仿宋_GBK"/>
                <w:b w:val="0"/>
                <w:i w:val="0"/>
                <w:snapToGrid/>
                <w:color w:val="000000"/>
                <w:sz w:val="22"/>
                <w:szCs w:val="16"/>
                <w:u w:val="none"/>
                <w:lang w:eastAsia="zh-CN"/>
              </w:rPr>
            </w:pPr>
            <w:r>
              <w:rPr>
                <w:rFonts w:hint="eastAsia" w:ascii="方正仿宋_GBK" w:hAnsi="方正仿宋_GBK" w:eastAsia="方正仿宋_GBK" w:cs="方正仿宋_GBK"/>
                <w:b w:val="0"/>
                <w:i w:val="0"/>
                <w:snapToGrid/>
                <w:color w:val="000000"/>
                <w:sz w:val="22"/>
                <w:szCs w:val="16"/>
                <w:u w:val="none"/>
                <w:lang w:eastAsia="zh-CN"/>
              </w:rPr>
              <w:t>县级民政部门未明确相关内设机构或者专门人员负责承担未成年人保护工作的。</w:t>
            </w:r>
          </w:p>
        </w:tc>
      </w:tr>
    </w:tbl>
    <w:p>
      <w:pPr>
        <w:sectPr>
          <w:pgSz w:w="16838" w:h="11906" w:orient="landscape"/>
          <w:pgMar w:top="1800" w:right="1440" w:bottom="1800" w:left="1440" w:header="851" w:footer="992" w:gutter="0"/>
          <w:cols w:space="720" w:num="1"/>
          <w:docGrid w:type="lines" w:linePitch="312" w:charSpace="0"/>
        </w:sect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A73DA"/>
    <w:rsid w:val="393A73DA"/>
    <w:rsid w:val="45D31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unhideWhenUsed/>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24"/>
      <w:lang w:val="en-US" w:eastAsia="zh-CN" w:bidi="ar-SA"/>
    </w:rPr>
  </w:style>
  <w:style w:type="paragraph" w:styleId="3">
    <w:name w:val="header"/>
    <w:unhideWhenUsed/>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仿宋_GB2312"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2021-08-19T07:11:00Z</dcterms:created>
  <dc:creator>小贾</dc:creator>
  <cp:lastModifiedBy>小贾</cp:lastModifiedBy>
  <dcterms:modified xsi:type="dcterms:W3CDTF">2021-08-19T09:14:54Z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3703A093AD3848F2BBDBE587CB733961</vt:lpwstr>
  </property>
  <property fmtid="{D5CDD505-2E9C-101B-9397-08002B2CF9AE}" pid="4" name="KSOSaveFontToCloudKey">
    <vt:lpwstr>268573566_btnclosed</vt:lpwstr>
  </property>
</Properties>
</file>