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00" w:lineRule="exact"/>
        <w:jc w:val="left"/>
        <w:textAlignment w:val="auto"/>
        <w:rPr>
          <w:rFonts w:hint="eastAsia" w:ascii="黑体" w:hAnsi="黑体" w:eastAsia="黑体"/>
          <w:sz w:val="32"/>
          <w:szCs w:val="32"/>
        </w:rPr>
      </w:pPr>
      <w:r>
        <w:rPr>
          <w:rFonts w:hint="eastAsia" w:ascii="黑体" w:hAnsi="黑体" w:eastAsia="黑体"/>
          <w:sz w:val="32"/>
          <w:szCs w:val="32"/>
        </w:rPr>
        <w:t>附件1</w:t>
      </w:r>
    </w:p>
    <w:p>
      <w:pPr>
        <w:topLinePunct/>
        <w:spacing w:after="156" w:afterLines="50" w:line="579" w:lineRule="exact"/>
        <w:jc w:val="center"/>
        <w:rPr>
          <w:rFonts w:hint="eastAsia" w:ascii="方正小标宋简体" w:eastAsia="方正小标宋简体"/>
          <w:sz w:val="44"/>
          <w:szCs w:val="44"/>
        </w:rPr>
      </w:pPr>
      <w:r>
        <w:rPr>
          <w:rFonts w:hint="eastAsia" w:ascii="方正小标宋简体" w:eastAsia="方正小标宋简体"/>
          <w:sz w:val="44"/>
          <w:szCs w:val="44"/>
        </w:rPr>
        <w:t>全国国防教育示范学校量化考评表（试行）</w:t>
      </w:r>
    </w:p>
    <w:p>
      <w:pPr>
        <w:topLinePunct/>
        <w:spacing w:after="156" w:afterLines="50" w:line="400" w:lineRule="exact"/>
        <w:rPr>
          <w:rFonts w:hint="eastAsia" w:ascii="楷体_GB2312" w:eastAsia="楷体_GB2312"/>
          <w:sz w:val="24"/>
        </w:rPr>
      </w:pPr>
      <w:r>
        <w:rPr>
          <w:rFonts w:hint="eastAsia" w:ascii="楷体_GB2312" w:eastAsia="楷体_GB2312"/>
          <w:sz w:val="24"/>
        </w:rPr>
        <w:t>省（市、区）：               学校名称：              考评时间：</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491"/>
        <w:gridCol w:w="1035"/>
        <w:gridCol w:w="1843"/>
        <w:gridCol w:w="1559"/>
        <w:gridCol w:w="308"/>
        <w:gridCol w:w="2296"/>
        <w:gridCol w:w="705"/>
        <w:gridCol w:w="70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491" w:type="dxa"/>
            <w:noWrap w:val="0"/>
            <w:vAlign w:val="center"/>
          </w:tcPr>
          <w:p>
            <w:pPr>
              <w:topLinePunct/>
              <w:spacing w:line="320" w:lineRule="exact"/>
              <w:jc w:val="center"/>
              <w:rPr>
                <w:rFonts w:hint="eastAsia" w:ascii="黑体" w:hAnsi="黑体" w:eastAsia="黑体"/>
                <w:sz w:val="24"/>
                <w:szCs w:val="32"/>
              </w:rPr>
            </w:pPr>
            <w:r>
              <w:rPr>
                <w:rFonts w:hint="eastAsia" w:ascii="黑体" w:hAnsi="黑体" w:eastAsia="黑体"/>
                <w:sz w:val="24"/>
                <w:szCs w:val="32"/>
              </w:rPr>
              <w:t>序号</w:t>
            </w:r>
          </w:p>
        </w:tc>
        <w:tc>
          <w:tcPr>
            <w:tcW w:w="1035" w:type="dxa"/>
            <w:noWrap w:val="0"/>
            <w:vAlign w:val="center"/>
          </w:tcPr>
          <w:p>
            <w:pPr>
              <w:topLinePunct/>
              <w:spacing w:line="320" w:lineRule="exact"/>
              <w:jc w:val="center"/>
              <w:rPr>
                <w:rFonts w:hint="eastAsia" w:ascii="黑体" w:hAnsi="黑体" w:eastAsia="黑体"/>
                <w:sz w:val="24"/>
                <w:szCs w:val="32"/>
              </w:rPr>
            </w:pPr>
            <w:r>
              <w:rPr>
                <w:rFonts w:hint="eastAsia" w:ascii="黑体" w:hAnsi="黑体" w:eastAsia="黑体"/>
                <w:sz w:val="24"/>
                <w:szCs w:val="32"/>
              </w:rPr>
              <w:t>评估</w:t>
            </w:r>
          </w:p>
          <w:p>
            <w:pPr>
              <w:topLinePunct/>
              <w:spacing w:line="320" w:lineRule="exact"/>
              <w:jc w:val="center"/>
              <w:rPr>
                <w:rFonts w:hint="eastAsia" w:ascii="黑体" w:hAnsi="黑体" w:eastAsia="黑体"/>
                <w:sz w:val="24"/>
                <w:szCs w:val="32"/>
              </w:rPr>
            </w:pPr>
            <w:r>
              <w:rPr>
                <w:rFonts w:hint="eastAsia" w:ascii="黑体" w:hAnsi="黑体" w:eastAsia="黑体"/>
                <w:sz w:val="24"/>
                <w:szCs w:val="32"/>
              </w:rPr>
              <w:t>指标</w:t>
            </w:r>
          </w:p>
        </w:tc>
        <w:tc>
          <w:tcPr>
            <w:tcW w:w="6006" w:type="dxa"/>
            <w:gridSpan w:val="4"/>
            <w:noWrap w:val="0"/>
            <w:vAlign w:val="center"/>
          </w:tcPr>
          <w:p>
            <w:pPr>
              <w:topLinePunct/>
              <w:spacing w:line="320" w:lineRule="exact"/>
              <w:jc w:val="center"/>
              <w:rPr>
                <w:rFonts w:hint="eastAsia" w:ascii="黑体" w:hAnsi="黑体" w:eastAsia="黑体"/>
                <w:sz w:val="24"/>
                <w:szCs w:val="32"/>
              </w:rPr>
            </w:pPr>
            <w:r>
              <w:rPr>
                <w:rFonts w:hint="eastAsia" w:ascii="黑体" w:hAnsi="黑体" w:eastAsia="黑体"/>
                <w:sz w:val="24"/>
                <w:szCs w:val="32"/>
              </w:rPr>
              <w:t>评估内容</w:t>
            </w:r>
          </w:p>
        </w:tc>
        <w:tc>
          <w:tcPr>
            <w:tcW w:w="705" w:type="dxa"/>
            <w:noWrap w:val="0"/>
            <w:vAlign w:val="center"/>
          </w:tcPr>
          <w:p>
            <w:pPr>
              <w:topLinePunct/>
              <w:spacing w:line="320" w:lineRule="exact"/>
              <w:jc w:val="center"/>
              <w:rPr>
                <w:rFonts w:hint="eastAsia" w:ascii="黑体" w:hAnsi="黑体" w:eastAsia="黑体"/>
                <w:sz w:val="24"/>
                <w:szCs w:val="32"/>
              </w:rPr>
            </w:pPr>
            <w:r>
              <w:rPr>
                <w:rFonts w:hint="eastAsia" w:ascii="黑体" w:hAnsi="黑体" w:eastAsia="黑体"/>
                <w:sz w:val="24"/>
                <w:szCs w:val="32"/>
              </w:rPr>
              <w:t>分值</w:t>
            </w:r>
          </w:p>
          <w:p>
            <w:pPr>
              <w:topLinePunct/>
              <w:spacing w:line="320" w:lineRule="exact"/>
              <w:jc w:val="center"/>
              <w:rPr>
                <w:rFonts w:hint="eastAsia" w:ascii="黑体" w:hAnsi="黑体" w:eastAsia="黑体"/>
                <w:sz w:val="24"/>
                <w:szCs w:val="32"/>
              </w:rPr>
            </w:pPr>
            <w:r>
              <w:rPr>
                <w:rFonts w:hint="eastAsia" w:ascii="黑体" w:hAnsi="黑体" w:eastAsia="黑体"/>
                <w:sz w:val="24"/>
                <w:szCs w:val="32"/>
              </w:rPr>
              <w:t>权重</w:t>
            </w:r>
          </w:p>
        </w:tc>
        <w:tc>
          <w:tcPr>
            <w:tcW w:w="709" w:type="dxa"/>
            <w:noWrap w:val="0"/>
            <w:vAlign w:val="center"/>
          </w:tcPr>
          <w:p>
            <w:pPr>
              <w:topLinePunct/>
              <w:spacing w:line="320" w:lineRule="exact"/>
              <w:jc w:val="center"/>
              <w:rPr>
                <w:rFonts w:hint="eastAsia" w:ascii="黑体" w:hAnsi="黑体" w:eastAsia="黑体"/>
                <w:sz w:val="24"/>
                <w:szCs w:val="32"/>
              </w:rPr>
            </w:pPr>
            <w:r>
              <w:rPr>
                <w:rFonts w:hint="eastAsia" w:ascii="黑体" w:hAnsi="黑体" w:eastAsia="黑体"/>
                <w:sz w:val="24"/>
                <w:szCs w:val="32"/>
              </w:rPr>
              <w:t>考评</w:t>
            </w:r>
          </w:p>
          <w:p>
            <w:pPr>
              <w:topLinePunct/>
              <w:spacing w:line="320" w:lineRule="exact"/>
              <w:jc w:val="center"/>
              <w:rPr>
                <w:rFonts w:hint="eastAsia" w:ascii="黑体" w:hAnsi="黑体" w:eastAsia="黑体"/>
                <w:sz w:val="24"/>
                <w:szCs w:val="32"/>
              </w:rPr>
            </w:pPr>
            <w:r>
              <w:rPr>
                <w:rFonts w:hint="eastAsia" w:ascii="黑体" w:hAnsi="黑体" w:eastAsia="黑体"/>
                <w:sz w:val="24"/>
                <w:szCs w:val="32"/>
              </w:rPr>
              <w:t>得分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7" w:hRule="atLeast"/>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1</w:t>
            </w:r>
          </w:p>
        </w:tc>
        <w:tc>
          <w:tcPr>
            <w:tcW w:w="1035" w:type="dxa"/>
            <w:vMerge w:val="restart"/>
            <w:noWrap w:val="0"/>
            <w:textDirection w:val="tbRlV"/>
            <w:vAlign w:val="center"/>
          </w:tcPr>
          <w:p>
            <w:pPr>
              <w:topLinePunct/>
              <w:spacing w:line="320" w:lineRule="exact"/>
              <w:ind w:left="113" w:right="113"/>
              <w:jc w:val="center"/>
              <w:rPr>
                <w:rFonts w:hint="eastAsia" w:ascii="黑体" w:hAnsi="黑体" w:eastAsia="黑体"/>
                <w:sz w:val="22"/>
              </w:rPr>
            </w:pPr>
            <w:r>
              <w:rPr>
                <w:rFonts w:hint="eastAsia" w:ascii="黑体" w:hAnsi="黑体" w:eastAsia="黑体"/>
                <w:sz w:val="22"/>
              </w:rPr>
              <w:t>组织管理有序</w:t>
            </w:r>
          </w:p>
          <w:p>
            <w:pPr>
              <w:topLinePunct/>
              <w:spacing w:line="320" w:lineRule="exact"/>
              <w:ind w:left="113" w:right="113"/>
              <w:jc w:val="center"/>
              <w:rPr>
                <w:rFonts w:hint="eastAsia" w:ascii="黑体" w:hAnsi="黑体" w:eastAsia="黑体"/>
                <w:sz w:val="22"/>
              </w:rPr>
            </w:pPr>
            <w:r>
              <w:rPr>
                <w:rFonts w:hint="eastAsia" w:ascii="黑体" w:hAnsi="黑体" w:eastAsia="黑体"/>
                <w:sz w:val="22"/>
              </w:rPr>
              <w:t>制度规则完善</w:t>
            </w: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学校党组织坚持把国防教育作为立德树人的重要途径，加强组织领导，定期研究解决国防教育面临的矛盾问题</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6</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6" w:hRule="atLeast"/>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2</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有1名校领导分管国防教育工作，有具体部门负责，有相应的工作场所，形成多部门联动配合开展国防教育工作的合力</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5</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3" w:hRule="atLeast"/>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3</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将国防教育纳入学校发展规划和年度工作计划，以及学校考核评价体系，并严格执行</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4</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47" w:hRule="atLeast"/>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4</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有国防教育工作组织实施、教学管理、活动开展、师资队伍和社会实践方面的规章制度和工作方案，并严格抓好落实</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4</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491" w:type="dxa"/>
            <w:noWrap w:val="0"/>
            <w:vAlign w:val="center"/>
          </w:tcPr>
          <w:p>
            <w:pPr>
              <w:topLinePunct/>
              <w:spacing w:line="400" w:lineRule="exact"/>
              <w:jc w:val="center"/>
              <w:rPr>
                <w:rFonts w:hint="eastAsia" w:ascii="仿宋_GB2312" w:hAnsi="宋体" w:eastAsia="仿宋_GB2312"/>
                <w:sz w:val="22"/>
              </w:rPr>
            </w:pPr>
            <w: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62230</wp:posOffset>
                      </wp:positionV>
                      <wp:extent cx="944880" cy="3327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38393" cy="332547"/>
                              </a:xfrm>
                              <a:prstGeom prst="rect">
                                <a:avLst/>
                              </a:prstGeom>
                              <a:noFill/>
                              <a:ln w="9525" cmpd="sng">
                                <a:noFill/>
                              </a:ln>
                              <a:effectLst/>
                            </wps:spPr>
                            <wps:txbx>
                              <w:txbxContent>
                                <w:p>
                                  <w:pPr>
                                    <w:pStyle w:val="2"/>
                                    <w:spacing w:before="0" w:beforeAutospacing="0" w:after="0" w:afterAutospacing="0"/>
                                    <w:ind w:firstLine="110" w:firstLineChars="50"/>
                                  </w:pPr>
                                  <w:r>
                                    <w:rPr>
                                      <w:rFonts w:hint="eastAsia" w:ascii="黑体" w:hAnsi="黑体" w:eastAsia="黑体" w:cs="Times New Roman"/>
                                      <w:color w:val="000000"/>
                                      <w:sz w:val="22"/>
                                      <w:szCs w:val="22"/>
                                    </w:rPr>
                                    <w:t>（26分）</w:t>
                                  </w:r>
                                </w:p>
                              </w:txbxContent>
                            </wps:txbx>
                            <wps:bodyPr vertOverflow="clip" horzOverflow="clip" wrap="square" rtlCol="0" anchor="t"/>
                          </wps:wsp>
                        </a:graphicData>
                      </a:graphic>
                    </wp:anchor>
                  </w:drawing>
                </mc:Choice>
                <mc:Fallback>
                  <w:pict>
                    <v:shape id="_x0000_s1026" o:spid="_x0000_s1026" o:spt="202" type="#_x0000_t202" style="position:absolute;left:0pt;margin-left:7.15pt;margin-top:4.9pt;height:26.2pt;width:74.4pt;z-index:251659264;mso-width-relative:page;mso-height-relative:page;" filled="f" stroked="f" coordsize="21600,21600" o:gfxdata="UEsDBAoAAAAAAIdO4kAAAAAAAAAAAAAAAAAEAAAAZHJzL1BLAwQUAAAACACHTuJAVaEIzdQAAAAH&#10;AQAADwAAAGRycy9kb3ducmV2LnhtbE2PwU7DMBBE70j8g7VI3KidtEQ0jdMDiGsRhVbi5sbbJGq8&#10;jmK3Sf+e7QmOoxnNvCnWk+vEBYfQetKQzBQIpMrblmoN31/vTy8gQjRkTecJNVwxwLq8vytMbv1I&#10;n3jZxlpwCYXcaGhi7HMpQ9WgM2HmeyT2jn5wJrIcamkHM3K562SqVCadaYkXGtPja4PVaXt2Gnab&#10;489+oT7qN/fcj35SktxSav34kKgViIhT/AvDDZ/RoWSmgz+TDaJjvZhzUsOSD9zsbJ6AOGjI0hRk&#10;Wcj//OUvUEsDBBQAAAAIAIdO4kBgj9sS4QEAAK8DAAAOAAAAZHJzL2Uyb0RvYy54bWytU8FuEzEQ&#10;vSPxD5bvZNNdQttVNpUgKhdEkQof4HjtrCXbY2wnu+ED4A84ceHe78p3MPZuQxUuPXCxxzPjN35v&#10;xsubwWiyFz4osA29mM0pEZZDq+y2oV8+3766oiREZlumwYqGHkSgN6uXL5a9q0UJHehWeIIgNtS9&#10;a2gXo6uLIvBOGBZm4ITFoARvWMSj3xatZz2iG12U8/mbogffOg9chIDe9RikE6J/DiBIqbhYA98Z&#10;YeOI6oVmESmFTrlAV/m1Ugoe76QMIhLdUGQa84pF0N6ktVgtWb31zHWKT09gz3nCGSfDlMWiJ6g1&#10;i4zsvPoHyijuIYCMMw6mGIlkRZDFxfxMm/uOOZG5oNTBnUQP/w+Wf9x/8kS1DS0pscxgw48/fxx/&#10;PRx/fydlkqd3ocase4d5cXgLAw7Noz+gM7EepDdpRz4E4yju4SSuGCLh6LysrqrrihKOoaoqF68v&#10;E0rx97LzIb4XYEgyGuqxd1lStv8Q4pj6mJJqWbhVWuf+aUv6hl4vygXCG4dkgt3mu6ckrKNtuiby&#10;UEyIidvIIVlx2AwT4Q20B+SL3yTe4SI1YAGulaOkA//t3NfjAGHRrzvmBSU+6ncwzhuzHPMbGjPX&#10;VAT7mFlPM5cG5ekZ7af/bPU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aEIzdQAAAAHAQAADwAA&#10;AAAAAAABACAAAAAiAAAAZHJzL2Rvd25yZXYueG1sUEsBAhQAFAAAAAgAh07iQGCP2xLhAQAArwMA&#10;AA4AAAAAAAAAAQAgAAAAIwEAAGRycy9lMm9Eb2MueG1sUEsFBgAAAAAGAAYAWQEAAHYFAAAAAA==&#10;">
                      <v:path/>
                      <v:fill on="f" focussize="0,0"/>
                      <v:stroke on="f"/>
                      <v:imagedata o:title=""/>
                      <o:lock v:ext="edit"/>
                      <v:textbox>
                        <w:txbxContent>
                          <w:p>
                            <w:pPr>
                              <w:pStyle w:val="2"/>
                              <w:spacing w:before="0" w:beforeAutospacing="0" w:after="0" w:afterAutospacing="0"/>
                              <w:ind w:firstLine="110" w:firstLineChars="50"/>
                            </w:pPr>
                            <w:r>
                              <w:rPr>
                                <w:rFonts w:hint="eastAsia" w:ascii="黑体" w:hAnsi="黑体" w:eastAsia="黑体" w:cs="Times New Roman"/>
                                <w:color w:val="000000"/>
                                <w:sz w:val="22"/>
                                <w:szCs w:val="22"/>
                              </w:rPr>
                              <w:t>（26分）</w:t>
                            </w:r>
                          </w:p>
                        </w:txbxContent>
                      </v:textbox>
                    </v:shape>
                  </w:pict>
                </mc:Fallback>
              </mc:AlternateContent>
            </w:r>
            <w:r>
              <w:rPr>
                <w:rFonts w:hint="eastAsia" w:ascii="仿宋_GB2312" w:hAnsi="宋体" w:eastAsia="仿宋_GB2312"/>
                <w:sz w:val="22"/>
              </w:rPr>
              <w:t>5</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与学校共青团、少先队、学生会等群众性组织沟通联系密切，工作机制和活动内容上有机融合</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3</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37" w:hRule="atLeast"/>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6</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积极参与教育行政部门和省军区系统政治工作部门牵头的联席会议和相关活动，与驻军单位结成社会主义精神文明共建对子或建立良好沟通渠道</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4</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16" w:hRule="atLeast"/>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7</w:t>
            </w:r>
          </w:p>
        </w:tc>
        <w:tc>
          <w:tcPr>
            <w:tcW w:w="1035" w:type="dxa"/>
            <w:vMerge w:val="restart"/>
            <w:noWrap w:val="0"/>
            <w:textDirection w:val="tbRlV"/>
            <w:vAlign w:val="center"/>
          </w:tcPr>
          <w:p>
            <w:pPr>
              <w:topLinePunct/>
              <w:spacing w:line="320" w:lineRule="exact"/>
              <w:ind w:left="113" w:right="113"/>
              <w:jc w:val="center"/>
              <w:rPr>
                <w:rFonts w:hint="eastAsia" w:ascii="黑体" w:hAnsi="黑体" w:eastAsia="黑体"/>
                <w:sz w:val="22"/>
              </w:rPr>
            </w:pPr>
            <w:r>
              <w:rPr>
                <w:rFonts w:hint="eastAsia" w:ascii="黑体" w:hAnsi="黑体" w:eastAsia="黑体"/>
                <w:sz w:val="22"/>
              </w:rPr>
              <w:t>教育活动规范</w:t>
            </w:r>
          </w:p>
          <w:p>
            <w:pPr>
              <w:topLinePunct/>
              <w:spacing w:line="320" w:lineRule="exact"/>
              <w:ind w:left="113" w:right="113"/>
              <w:jc w:val="center"/>
              <w:rPr>
                <w:rFonts w:hint="eastAsia" w:ascii="仿宋_GB2312" w:eastAsia="仿宋_GB2312"/>
                <w:sz w:val="22"/>
                <w:szCs w:val="32"/>
              </w:rPr>
            </w:pPr>
            <w:r>
              <w:rPr>
                <w:rFonts w:hint="eastAsia" w:ascii="黑体" w:hAnsi="黑体" w:eastAsia="黑体"/>
                <w:sz w:val="22"/>
              </w:rPr>
              <w:t>地域特色鲜明</w:t>
            </w: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树立大国防教育观，深化国防教育教学改革，在相关课程教学、德育活动中有机融入国防教育内容，发展素质教育，</w:t>
            </w:r>
            <w:r>
              <w:rPr>
                <w:rFonts w:hint="eastAsia" w:ascii="仿宋_GB2312" w:eastAsia="仿宋_GB2312"/>
                <w:sz w:val="22"/>
                <w:lang w:eastAsia="zh-CN"/>
              </w:rPr>
              <w:t>每学期</w:t>
            </w:r>
            <w:r>
              <w:rPr>
                <w:rFonts w:hint="eastAsia" w:ascii="仿宋_GB2312" w:eastAsia="仿宋_GB2312"/>
                <w:sz w:val="22"/>
              </w:rPr>
              <w:t>有1</w:t>
            </w:r>
            <w:r>
              <w:rPr>
                <w:rFonts w:hint="eastAsia" w:ascii="仿宋_GB2312" w:eastAsia="仿宋_GB2312"/>
                <w:sz w:val="22"/>
                <w:lang w:eastAsia="zh-CN"/>
              </w:rPr>
              <w:t>节以上</w:t>
            </w:r>
            <w:r>
              <w:rPr>
                <w:rFonts w:hint="eastAsia" w:ascii="仿宋_GB2312" w:eastAsia="仿宋_GB2312"/>
                <w:sz w:val="22"/>
              </w:rPr>
              <w:t>特色鲜明的国防教育</w:t>
            </w:r>
            <w:r>
              <w:rPr>
                <w:rFonts w:hint="eastAsia" w:ascii="仿宋_GB2312" w:eastAsia="仿宋_GB2312"/>
                <w:sz w:val="22"/>
                <w:lang w:eastAsia="zh-CN"/>
              </w:rPr>
              <w:t>活动</w:t>
            </w:r>
            <w:r>
              <w:rPr>
                <w:rFonts w:hint="eastAsia" w:ascii="仿宋_GB2312" w:eastAsia="仿宋_GB2312"/>
                <w:sz w:val="22"/>
              </w:rPr>
              <w:t>课</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3</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8</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有国防特色类学生社团或课外兴趣小组，活动有计划、有安排，在学生中有一定影响力</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3</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9</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国防教育内容根据不同年龄、不同阶段学生特点合理设计，国防教育针对性实效性强</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3</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10</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经常开展国防教育实践活动，少年军校或学生军训等活动组织有序</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4</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11</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以国防教育为主题的校园文化活动丰富，学校、家庭、学生支持参与国防教育的氛围良好</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4</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95" w:hRule="atLeast"/>
          <w:jc w:val="center"/>
        </w:trPr>
        <w:tc>
          <w:tcPr>
            <w:tcW w:w="491" w:type="dxa"/>
            <w:noWrap w:val="0"/>
            <w:vAlign w:val="center"/>
          </w:tcPr>
          <w:p>
            <w:pPr>
              <w:topLinePunct/>
              <w:spacing w:line="400" w:lineRule="exact"/>
              <w:jc w:val="center"/>
              <w:rPr>
                <w:rFonts w:hint="eastAsia" w:ascii="仿宋_GB2312" w:hAnsi="宋体" w:eastAsia="仿宋_GB2312"/>
                <w:sz w:val="22"/>
              </w:rPr>
            </w:pPr>
            <w:bookmarkStart w:id="0" w:name="_GoBack"/>
            <w:r>
              <w:rPr>
                <w:rFonts w:hint="eastAsia" w:ascii="黑体" w:hAnsi="黑体" w:eastAsia="黑体"/>
                <w:sz w:val="22"/>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39370</wp:posOffset>
                      </wp:positionV>
                      <wp:extent cx="944880" cy="33274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38393" cy="332547"/>
                              </a:xfrm>
                              <a:prstGeom prst="rect">
                                <a:avLst/>
                              </a:prstGeom>
                              <a:noFill/>
                              <a:ln w="9525" cmpd="sng">
                                <a:noFill/>
                              </a:ln>
                              <a:effectLst/>
                            </wps:spPr>
                            <wps:txbx>
                              <w:txbxContent>
                                <w:p>
                                  <w:pPr>
                                    <w:pStyle w:val="2"/>
                                    <w:spacing w:before="0" w:beforeAutospacing="0" w:after="0" w:afterAutospacing="0"/>
                                    <w:ind w:firstLine="110" w:firstLineChars="50"/>
                                  </w:pPr>
                                  <w:r>
                                    <w:rPr>
                                      <w:rFonts w:hint="eastAsia" w:ascii="黑体" w:hAnsi="黑体" w:eastAsia="黑体" w:cs="Times New Roman"/>
                                      <w:color w:val="000000"/>
                                      <w:sz w:val="22"/>
                                      <w:szCs w:val="22"/>
                                    </w:rPr>
                                    <w:t>（42分）</w:t>
                                  </w:r>
                                </w:p>
                              </w:txbxContent>
                            </wps:txbx>
                            <wps:bodyPr vertOverflow="clip" horzOverflow="clip" wrap="square" rtlCol="0" anchor="t"/>
                          </wps:wsp>
                        </a:graphicData>
                      </a:graphic>
                    </wp:anchor>
                  </w:drawing>
                </mc:Choice>
                <mc:Fallback>
                  <w:pict>
                    <v:shape id="_x0000_s1026" o:spid="_x0000_s1026" o:spt="202" type="#_x0000_t202" style="position:absolute;left:0pt;margin-left:7.5pt;margin-top:3.1pt;height:26.2pt;width:74.4pt;z-index:251660288;mso-width-relative:page;mso-height-relative:page;" filled="f" stroked="f" coordsize="21600,21600" o:gfxdata="UEsDBAoAAAAAAIdO4kAAAAAAAAAAAAAAAAAEAAAAZHJzL1BLAwQUAAAACACHTuJAKrrdLtMAAAAH&#10;AQAADwAAAGRycy9kb3ducmV2LnhtbE2PwU7DMBBE70j8g7VI3KjdQqISsukBxBVEC0jc3HibRMTr&#10;KHab8PdsT3AczWjmTbmZfa9ONMYuMMJyYUAR18F13CC8755v1qBisuxsH5gQfijCprq8KG3hwsRv&#10;dNqmRkkJx8IitCkNhdaxbsnbuAgDsXiHMHqbRI6NdqOdpNz3emVMrr3tWBZaO9BjS/X39ugRPl4O&#10;X5935rV58tkwhdlo9vca8fpqaR5AJZrTXxjO+IIOlTDtw5FdVL3oTK4khHwF6mznt/Jkj5Ctc9BV&#10;qf/zV79QSwMEFAAAAAgAh07iQMGDcyzhAQAArwMAAA4AAABkcnMvZTJvRG9jLnhtbK1TQW7bMBC8&#10;F+gfCN5rOVbdJILlAK2RXoqmQNIH0BRpESC5LElbch6Q/qCnXnrPu/yOLCnFDdxLDr1Q1O5yhjO7&#10;XFz1RpOd8EGBrenZZEqJsBwaZTc1/X53/e6CkhCZbZgGK2q6F4FeLd++WXSuEjNoQTfCEwSxoepc&#10;TdsYXVUUgbfCsDABJywmJXjDIv76TdF41iG60cVsOv1QdOAb54GLEDC6GpJ0RPSvAQQpFRcr4Fsj&#10;bBxQvdAsoqTQKhfoMt9WSsHjjZRBRKJrikpjXpEE9+u0FssFqzaeuVbx8QrsNVc40WSYskh6hFqx&#10;yMjWq3+gjOIeAsg44WCKQUh2BFWcTU+8uW2ZE1kLWh3c0fTw/2D51903T1RT05ISyww2/PDr5+H3&#10;4+HPAymTPZ0LFVbdOqyL/UfocWie4wGDSXUvvUlf1EMwj+buj+aKPhKOwfPyorxEEo6pspzN358n&#10;lOLvYedD/CzAkLSpqcfeZUvZ7kuIQ+lzSeKycK20zv3TlnQ1vZzP5ghvHIoJdpPPHouQR9t0TOSh&#10;GBGTtkFD2sV+3Y+C19DsUS8+k3iDi9SABFwrR0kL/v401uEAIemPLfOCEh/1JxjmjVmO9TWNWWsi&#10;wT5m1ePMpUF5+Y/7l+9s+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qut0u0wAAAAcBAAAPAAAA&#10;AAAAAAEAIAAAACIAAABkcnMvZG93bnJldi54bWxQSwECFAAUAAAACACHTuJAwYNzLOEBAACvAwAA&#10;DgAAAAAAAAABACAAAAAiAQAAZHJzL2Uyb0RvYy54bWxQSwUGAAAAAAYABgBZAQAAdQUAAAAA&#10;">
                      <v:path/>
                      <v:fill on="f" focussize="0,0"/>
                      <v:stroke on="f"/>
                      <v:imagedata o:title=""/>
                      <o:lock v:ext="edit"/>
                      <v:textbox>
                        <w:txbxContent>
                          <w:p>
                            <w:pPr>
                              <w:pStyle w:val="2"/>
                              <w:spacing w:before="0" w:beforeAutospacing="0" w:after="0" w:afterAutospacing="0"/>
                              <w:ind w:firstLine="110" w:firstLineChars="50"/>
                            </w:pPr>
                            <w:r>
                              <w:rPr>
                                <w:rFonts w:hint="eastAsia" w:ascii="黑体" w:hAnsi="黑体" w:eastAsia="黑体" w:cs="Times New Roman"/>
                                <w:color w:val="000000"/>
                                <w:sz w:val="22"/>
                                <w:szCs w:val="22"/>
                              </w:rPr>
                              <w:t>（42分）</w:t>
                            </w:r>
                          </w:p>
                        </w:txbxContent>
                      </v:textbox>
                    </v:shape>
                  </w:pict>
                </mc:Fallback>
              </mc:AlternateContent>
            </w:r>
            <w:bookmarkEnd w:id="0"/>
            <w:r>
              <w:rPr>
                <w:rFonts w:hint="eastAsia" w:ascii="仿宋_GB2312" w:hAnsi="宋体" w:eastAsia="仿宋_GB2312"/>
                <w:sz w:val="22"/>
              </w:rPr>
              <w:t>12</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结合重大节日、重要纪念活动，依托当地国防教育实践基地、红色教育基地和驻军部队等优势资源，组织参观学习、拓展训练等实践活动，国防教育开放性、体验性和实践性较强</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5</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13</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结合自身实际模范开展教育拥军活动，有方案、有计划、有实效</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10</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14</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模范执行军人子女教育优待有关政策规定，严格落实军人子女教育优待</w:t>
            </w:r>
            <w:r>
              <w:rPr>
                <w:rFonts w:hint="eastAsia" w:ascii="仿宋_GB2312" w:eastAsia="仿宋_GB2312"/>
                <w:sz w:val="22"/>
                <w:lang w:eastAsia="zh-CN"/>
              </w:rPr>
              <w:t>资格</w:t>
            </w:r>
            <w:r>
              <w:rPr>
                <w:rFonts w:hint="eastAsia" w:ascii="仿宋_GB2312" w:eastAsia="仿宋_GB2312"/>
                <w:sz w:val="22"/>
              </w:rPr>
              <w:t>证明信制度</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10</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15</w:t>
            </w:r>
          </w:p>
        </w:tc>
        <w:tc>
          <w:tcPr>
            <w:tcW w:w="1035" w:type="dxa"/>
            <w:vMerge w:val="restart"/>
            <w:noWrap w:val="0"/>
            <w:textDirection w:val="tbRlV"/>
            <w:vAlign w:val="center"/>
          </w:tcPr>
          <w:p>
            <w:pPr>
              <w:topLinePunct/>
              <w:spacing w:line="320" w:lineRule="exact"/>
              <w:ind w:left="113" w:right="113"/>
              <w:jc w:val="center"/>
              <w:rPr>
                <w:rFonts w:hint="eastAsia" w:ascii="黑体" w:hAnsi="黑体" w:eastAsia="黑体"/>
                <w:sz w:val="22"/>
                <w:szCs w:val="32"/>
              </w:rPr>
            </w:pPr>
            <w:r>
              <w:rPr>
                <w:rFonts w:hint="eastAsia" w:ascii="黑体" w:hAnsi="黑体" w:eastAsia="黑体"/>
                <w:sz w:val="22"/>
                <w:szCs w:val="32"/>
              </w:rPr>
              <w:t>师资队伍稳定</w:t>
            </w:r>
          </w:p>
          <w:p>
            <w:pPr>
              <w:topLinePunct/>
              <w:spacing w:line="320" w:lineRule="exact"/>
              <w:ind w:left="113" w:right="113"/>
              <w:jc w:val="center"/>
              <w:rPr>
                <w:rFonts w:hint="eastAsia" w:ascii="仿宋_GB2312" w:eastAsia="仿宋_GB2312"/>
                <w:sz w:val="22"/>
                <w:szCs w:val="32"/>
              </w:rPr>
            </w:pPr>
            <w:r>
              <w:rPr>
                <w:rFonts w:hint="eastAsia" w:ascii="黑体" w:hAnsi="黑体" w:eastAsia="黑体"/>
                <w:sz w:val="22"/>
                <w:szCs w:val="32"/>
              </w:rPr>
              <w:t>人才保障有力</w:t>
            </w: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建立相对稳定的国防教育专兼职师资队伍，学校有1名</w:t>
            </w:r>
            <w:r>
              <w:rPr>
                <w:rFonts w:hint="eastAsia" w:ascii="仿宋_GB2312" w:eastAsia="仿宋_GB2312"/>
                <w:sz w:val="22"/>
                <w:lang w:eastAsia="zh-CN"/>
              </w:rPr>
              <w:t>以上</w:t>
            </w:r>
            <w:r>
              <w:rPr>
                <w:rFonts w:hint="eastAsia" w:ascii="仿宋_GB2312" w:eastAsia="仿宋_GB2312"/>
                <w:sz w:val="22"/>
              </w:rPr>
              <w:t>专兼职工作人员具体负责，部队选派1</w:t>
            </w:r>
            <w:r>
              <w:rPr>
                <w:rFonts w:hint="eastAsia" w:ascii="仿宋_GB2312" w:eastAsia="仿宋_GB2312"/>
                <w:sz w:val="22"/>
                <w:lang w:eastAsia="zh-CN"/>
              </w:rPr>
              <w:t>—</w:t>
            </w:r>
            <w:r>
              <w:rPr>
                <w:rFonts w:hint="eastAsia" w:ascii="仿宋_GB2312" w:eastAsia="仿宋_GB2312"/>
                <w:sz w:val="22"/>
              </w:rPr>
              <w:t>2名领导、英模人物、先进典型或其他优秀现役军人、文职人员担任辅导员，每年至少开展2次国防教育公开课</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3</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16</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教师对国防教育重要性认识到位，注重提升自身政治意识和国防意识，将国防教育融入教学的意识较强，未公开发表明显不当言论</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3</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黑体" w:hAnsi="黑体" w:eastAsia="黑体"/>
                <w:sz w:val="22"/>
                <w:szCs w:val="32"/>
              </w:rPr>
              <mc:AlternateContent>
                <mc:Choice Requires="wps">
                  <w:drawing>
                    <wp:anchor distT="0" distB="0" distL="114300" distR="114300" simplePos="0" relativeHeight="251661312" behindDoc="0" locked="0" layoutInCell="1" allowOverlap="1">
                      <wp:simplePos x="0" y="0"/>
                      <wp:positionH relativeFrom="column">
                        <wp:posOffset>89535</wp:posOffset>
                      </wp:positionH>
                      <wp:positionV relativeFrom="paragraph">
                        <wp:posOffset>126365</wp:posOffset>
                      </wp:positionV>
                      <wp:extent cx="944880" cy="3327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38393" cy="332547"/>
                              </a:xfrm>
                              <a:prstGeom prst="rect">
                                <a:avLst/>
                              </a:prstGeom>
                              <a:noFill/>
                              <a:ln w="9525" cmpd="sng">
                                <a:noFill/>
                              </a:ln>
                              <a:effectLst/>
                            </wps:spPr>
                            <wps:txbx>
                              <w:txbxContent>
                                <w:p>
                                  <w:pPr>
                                    <w:pStyle w:val="2"/>
                                    <w:spacing w:before="0" w:beforeAutospacing="0" w:after="0" w:afterAutospacing="0"/>
                                    <w:ind w:firstLine="110" w:firstLineChars="50"/>
                                  </w:pPr>
                                  <w:r>
                                    <w:rPr>
                                      <w:rFonts w:hint="eastAsia" w:ascii="黑体" w:hAnsi="黑体" w:eastAsia="黑体" w:cs="Times New Roman"/>
                                      <w:color w:val="000000"/>
                                      <w:sz w:val="22"/>
                                      <w:szCs w:val="22"/>
                                    </w:rPr>
                                    <w:t>（18分）</w:t>
                                  </w:r>
                                </w:p>
                              </w:txbxContent>
                            </wps:txbx>
                            <wps:bodyPr vertOverflow="clip" horzOverflow="clip" wrap="square" rtlCol="0" anchor="t"/>
                          </wps:wsp>
                        </a:graphicData>
                      </a:graphic>
                    </wp:anchor>
                  </w:drawing>
                </mc:Choice>
                <mc:Fallback>
                  <w:pict>
                    <v:shape id="_x0000_s1026" o:spid="_x0000_s1026" o:spt="202" type="#_x0000_t202" style="position:absolute;left:0pt;margin-left:7.05pt;margin-top:9.95pt;height:26.2pt;width:74.4pt;z-index:251661312;mso-width-relative:page;mso-height-relative:page;" filled="f" stroked="f" coordsize="21600,21600" o:gfxdata="UEsDBAoAAAAAAIdO4kAAAAAAAAAAAAAAAAAEAAAAZHJzL1BLAwQUAAAACACHTuJAf6sJKdUAAAAI&#10;AQAADwAAAGRycy9kb3ducmV2LnhtbE2PQU/DMAyF70j8h8hI3FjSMjbaNd0BxBXE2CZxyxqvrdY4&#10;VZOt5d/jneBkP72n58/FenKduOAQWk8akpkCgVR521KtYfv19vAMIkRD1nSeUMMPBliXtzeFya0f&#10;6RMvm1gLLqGQGw1NjH0uZagadCbMfI/E3tEPzkSWQy3tYEYud51MlVpIZ1riC43p8aXB6rQ5Ow27&#10;9+P3fq4+6lf31I9+UpJcJrW+v0vUCkTEKf6F4YrP6FAy08GfyQbRsZ4nnOSZZSCu/iLl5aBhmT6C&#10;LAv5/4HyF1BLAwQUAAAACACHTuJAg5ojUeEBAACvAwAADgAAAGRycy9lMm9Eb2MueG1srVPNjtMw&#10;EL4j8Q6W7zT9oexu1HQlqJYLYpEWHsB1xo0l22Nst0l5AHgDTly481x9DsZJKKty2QMXZzLz+Rt/&#10;n8er284adoAQNbqKzyZTzsBJrLXbVfzTx7sX15zFJFwtDDqo+BEiv10/f7ZqfQlzbNDUEBiRuFi2&#10;vuJNSr4siigbsCJO0IOjosJgRaLfsCvqIFpit6aYT6evihZD7QNKiJGym6HIR8bwFEJUSkvYoNxb&#10;cGlgDWBEIkmx0T7ydX9apUCme6UiJGYqTkpTv1ITird5LdYrUe6C8I2W4xHEU45wockK7ajpmWoj&#10;kmD7oP+hsloGjKjSRKItBiG9I6RiNr3w5qERHnotZHX0Z9Pj/6OV7w8fAtM1TQJnTli68NP3b6cf&#10;v04/v7JZtqf1sSTUgydc6l5jl6FjPlIyq+5UsPlLehjVydzj2VzoEpOUvFpcL24WnEkqLRbz5cur&#10;zFL83exDTG8BLctBxQPdXW+pOLyLaYD+geReDu+0MZQXpXGsrfjNcr4keutJTHS7fu8ZRH2My1jo&#10;h2JkzNoGDTlK3bYbhW2xPpJeeibpnhZlkBpIoz1nDYYvl7mWBoiaft6LAJyFZN7gMG/CScJXPPVa&#10;cxO6x171OHN5UB7/U/z4na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rCSnVAAAACAEAAA8A&#10;AAAAAAAAAQAgAAAAIgAAAGRycy9kb3ducmV2LnhtbFBLAQIUABQAAAAIAIdO4kCDmiNR4QEAAK8D&#10;AAAOAAAAAAAAAAEAIAAAACQBAABkcnMvZTJvRG9jLnhtbFBLBQYAAAAABgAGAFkBAAB3BQAAAAA=&#10;">
                      <v:path/>
                      <v:fill on="f" focussize="0,0"/>
                      <v:stroke on="f"/>
                      <v:imagedata o:title=""/>
                      <o:lock v:ext="edit"/>
                      <v:textbox>
                        <w:txbxContent>
                          <w:p>
                            <w:pPr>
                              <w:pStyle w:val="2"/>
                              <w:spacing w:before="0" w:beforeAutospacing="0" w:after="0" w:afterAutospacing="0"/>
                              <w:ind w:firstLine="110" w:firstLineChars="50"/>
                            </w:pPr>
                            <w:r>
                              <w:rPr>
                                <w:rFonts w:hint="eastAsia" w:ascii="黑体" w:hAnsi="黑体" w:eastAsia="黑体" w:cs="Times New Roman"/>
                                <w:color w:val="000000"/>
                                <w:sz w:val="22"/>
                                <w:szCs w:val="22"/>
                              </w:rPr>
                              <w:t>（18分）</w:t>
                            </w:r>
                          </w:p>
                        </w:txbxContent>
                      </v:textbox>
                    </v:shape>
                  </w:pict>
                </mc:Fallback>
              </mc:AlternateContent>
            </w:r>
            <w:r>
              <w:rPr>
                <w:rFonts w:hint="eastAsia" w:ascii="仿宋_GB2312" w:hAnsi="宋体" w:eastAsia="仿宋_GB2312"/>
                <w:sz w:val="22"/>
              </w:rPr>
              <w:t>17</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对国防教育师资队伍在交流培训、进修学习等方面给予支持</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8</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18</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定期开展国防教育业务教研活动，支持教师参加各级各类国防教育业务培训和研讨交流，不断提高教师业务能力</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4</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19</w:t>
            </w:r>
          </w:p>
        </w:tc>
        <w:tc>
          <w:tcPr>
            <w:tcW w:w="1035" w:type="dxa"/>
            <w:vMerge w:val="restart"/>
            <w:noWrap w:val="0"/>
            <w:textDirection w:val="tbRlV"/>
            <w:vAlign w:val="center"/>
          </w:tcPr>
          <w:p>
            <w:pPr>
              <w:topLinePunct/>
              <w:spacing w:line="320" w:lineRule="exact"/>
              <w:ind w:left="113" w:right="113"/>
              <w:jc w:val="center"/>
              <w:rPr>
                <w:rFonts w:hint="eastAsia" w:ascii="黑体" w:hAnsi="黑体" w:eastAsia="黑体"/>
                <w:sz w:val="22"/>
                <w:szCs w:val="32"/>
              </w:rPr>
            </w:pPr>
            <w:r>
              <w:rPr>
                <w:rFonts w:hint="eastAsia" w:ascii="黑体" w:hAnsi="黑体" w:eastAsia="黑体"/>
                <w:sz w:val="22"/>
                <w:szCs w:val="32"/>
              </w:rPr>
              <w:t>条件保障到位</w:t>
            </w:r>
          </w:p>
          <w:p>
            <w:pPr>
              <w:topLinePunct/>
              <w:spacing w:line="320" w:lineRule="exact"/>
              <w:ind w:left="113" w:right="113"/>
              <w:jc w:val="center"/>
              <w:rPr>
                <w:rFonts w:hint="eastAsia" w:ascii="仿宋_GB2312" w:eastAsia="仿宋_GB2312"/>
                <w:sz w:val="22"/>
                <w:szCs w:val="32"/>
              </w:rPr>
            </w:pPr>
            <w:r>
              <w:rPr>
                <w:rFonts w:hint="eastAsia" w:ascii="黑体" w:hAnsi="黑体" w:eastAsia="黑体"/>
                <w:sz w:val="22"/>
                <w:szCs w:val="32"/>
              </w:rPr>
              <w:t>政策环境良好</w:t>
            </w: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学校主动向教育行政部门、省军区系统政治工作部门报告国防教育开展情况，积极参加国防教育示范学校创建活动</w:t>
            </w:r>
          </w:p>
        </w:tc>
        <w:tc>
          <w:tcPr>
            <w:tcW w:w="705" w:type="dxa"/>
            <w:noWrap w:val="0"/>
            <w:vAlign w:val="center"/>
          </w:tcPr>
          <w:p>
            <w:pPr>
              <w:topLinePunct/>
              <w:spacing w:line="400" w:lineRule="exact"/>
              <w:jc w:val="center"/>
              <w:rPr>
                <w:rFonts w:hint="eastAsia" w:ascii="仿宋_GB2312" w:eastAsia="仿宋_GB2312"/>
                <w:sz w:val="22"/>
              </w:rPr>
            </w:pPr>
            <w:r>
              <w:rPr>
                <w:rFonts w:hint="eastAsia" w:ascii="仿宋_GB2312" w:eastAsia="仿宋_GB2312"/>
                <w:sz w:val="22"/>
              </w:rPr>
              <w:t>4</w:t>
            </w:r>
          </w:p>
        </w:tc>
        <w:tc>
          <w:tcPr>
            <w:tcW w:w="709" w:type="dxa"/>
            <w:noWrap w:val="0"/>
            <w:vAlign w:val="center"/>
          </w:tcPr>
          <w:p>
            <w:pPr>
              <w:topLinePunct/>
              <w:spacing w:line="400" w:lineRule="exact"/>
              <w:rPr>
                <w:rFonts w:hint="eastAsia" w:ascii="仿宋_GB2312" w:eastAsia="仿宋_GB2312"/>
                <w:sz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20</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注重营造崇军尚武的校园文化，因地制宜建设国防教育文化育人场所及设施，用好宣传栏、标语、网站等载体开展国防教育，在校园内部道路、建筑命名等方面体现国防特色</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4</w:t>
            </w:r>
          </w:p>
        </w:tc>
        <w:tc>
          <w:tcPr>
            <w:tcW w:w="709" w:type="dxa"/>
            <w:noWrap w:val="0"/>
            <w:vAlign w:val="center"/>
          </w:tcPr>
          <w:p>
            <w:pPr>
              <w:topLinePunct/>
              <w:spacing w:line="300" w:lineRule="exact"/>
              <w:rPr>
                <w:rFonts w:hint="eastAsia" w:ascii="仿宋_GB2312" w:eastAsia="仿宋_GB2312"/>
                <w:sz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黑体" w:hAnsi="黑体" w:eastAsia="黑体"/>
                <w:sz w:val="22"/>
                <w:szCs w:val="32"/>
              </w:rPr>
              <mc:AlternateContent>
                <mc:Choice Requires="wps">
                  <w:drawing>
                    <wp:anchor distT="0" distB="0" distL="114300" distR="114300" simplePos="0" relativeHeight="251662336" behindDoc="0" locked="0" layoutInCell="1" allowOverlap="1">
                      <wp:simplePos x="0" y="0"/>
                      <wp:positionH relativeFrom="column">
                        <wp:posOffset>93980</wp:posOffset>
                      </wp:positionH>
                      <wp:positionV relativeFrom="paragraph">
                        <wp:posOffset>314960</wp:posOffset>
                      </wp:positionV>
                      <wp:extent cx="944880" cy="332740"/>
                      <wp:effectExtent l="0" t="0" r="0" b="0"/>
                      <wp:wrapNone/>
                      <wp:docPr id="4" name="文本框 4"/>
                      <wp:cNvGraphicFramePr/>
                      <a:graphic xmlns:a="http://schemas.openxmlformats.org/drawingml/2006/main">
                        <a:graphicData uri="http://schemas.microsoft.com/office/word/2010/wordprocessingShape">
                          <wps:wsp>
                            <wps:cNvSpPr txBox="1"/>
                            <wps:spPr>
                              <a:xfrm>
                                <a:off x="0" y="0"/>
                                <a:ext cx="738393" cy="332547"/>
                              </a:xfrm>
                              <a:prstGeom prst="rect">
                                <a:avLst/>
                              </a:prstGeom>
                              <a:noFill/>
                              <a:ln w="9525" cmpd="sng">
                                <a:noFill/>
                              </a:ln>
                              <a:effectLst/>
                            </wps:spPr>
                            <wps:txbx>
                              <w:txbxContent>
                                <w:p>
                                  <w:pPr>
                                    <w:pStyle w:val="2"/>
                                    <w:spacing w:before="0" w:beforeAutospacing="0" w:after="0" w:afterAutospacing="0"/>
                                    <w:ind w:firstLine="110" w:firstLineChars="50"/>
                                  </w:pPr>
                                  <w:r>
                                    <w:rPr>
                                      <w:rFonts w:hint="eastAsia" w:ascii="黑体" w:hAnsi="黑体" w:eastAsia="黑体" w:cs="Times New Roman"/>
                                      <w:color w:val="000000"/>
                                      <w:sz w:val="22"/>
                                      <w:szCs w:val="22"/>
                                    </w:rPr>
                                    <w:t>（14分）</w:t>
                                  </w:r>
                                </w:p>
                              </w:txbxContent>
                            </wps:txbx>
                            <wps:bodyPr vertOverflow="clip" horzOverflow="clip" wrap="square" rtlCol="0" anchor="t"/>
                          </wps:wsp>
                        </a:graphicData>
                      </a:graphic>
                    </wp:anchor>
                  </w:drawing>
                </mc:Choice>
                <mc:Fallback>
                  <w:pict>
                    <v:shape id="_x0000_s1026" o:spid="_x0000_s1026" o:spt="202" type="#_x0000_t202" style="position:absolute;left:0pt;margin-left:7.4pt;margin-top:24.8pt;height:26.2pt;width:74.4pt;z-index:251662336;mso-width-relative:page;mso-height-relative:page;" filled="f" stroked="f" coordsize="21600,21600" o:gfxdata="UEsDBAoAAAAAAIdO4kAAAAAAAAAAAAAAAAAEAAAAZHJzL1BLAwQUAAAACACHTuJApqsHudQAAAAJ&#10;AQAADwAAAGRycy9kb3ducmV2LnhtbE2PwU7DMBBE70j8g7VI3KjdEiIa4vQA4gqiBSRu23ibRMTr&#10;KHab8PdsT3Cb0axm35Sb2ffqRGPsAltYLgwo4jq4jhsL77vnm3tQMSE77AOThR+KsKkuL0osXJj4&#10;jU7b1Cgp4VighTalodA61i15jIswEEt2CKPHJHZstBtxknLf65UxufbYsXxocaDHlurv7dFb+Hg5&#10;fH1m5rV58nfDFGaj2a+1tddXS/MAKtGc/o7hjC/oUAnTPhzZRdWLz4Q8WcjWOahznt+K2IswKwO6&#10;KvX/BdUvUEsDBBQAAAAIAIdO4kCmpCuV4gEAAK8DAAAOAAAAZHJzL2Uyb0RvYy54bWytU8FuEzEQ&#10;vSPxD5bvZNNsQttVNpUgKhdEkQof4HjtrCXbY2wnu+ED4A84ceHOd+U7GHu3aZVeeuBij2fGb/ze&#10;jJc3vdFkL3xQYGt6MZlSIiyHRtltTb9+uX1zRUmIzDZMgxU1PYhAb1avXy07V4kZtKAb4QmC2FB1&#10;rqZtjK4qisBbYViYgBMWgxK8YRGPfls0nnWIbnQxm07fFh34xnngIgT0rocgHRH9SwBBSsXFGvjO&#10;CBsHVC80i0gptMoFusqvlVLweCdlEJHomiLTmFcsgvYmrcVqyaqtZ65VfHwCe8kTzjgZpiwWPUGt&#10;WWRk59UzKKO4hwAyTjiYYiCSFUEWF9Mzbe5b5kTmglIHdxI9/D9Y/mn/2RPV1HROiWUGG3789fP4&#10;++/xzw8yT/J0LlSYde8wL/bvoMehefAHdCbWvfQm7ciHYBzFPZzEFX0kHJ2X5VV5XVLCMVSWs8X8&#10;MqEUj5edD/GDAEOSUVOPvcuSsv3HEIfUh5RUy8Kt0jr3T1vS1fR6MVsgvHFIJthtvntKwjrapmsi&#10;D8WImLgNHJIV+00/Et5Ac0C++E3iHS5SAxbgWjlKWvDfz30dDhAW/bZjXlDio34Pw7wxyzG/pjFz&#10;TUWwj5n1OHNpUJ6e0X76z1b/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arB7nUAAAACQEAAA8A&#10;AAAAAAAAAQAgAAAAIgAAAGRycy9kb3ducmV2LnhtbFBLAQIUABQAAAAIAIdO4kCmpCuV4gEAAK8D&#10;AAAOAAAAAAAAAAEAIAAAACMBAABkcnMvZTJvRG9jLnhtbFBLBQYAAAAABgAGAFkBAAB3BQAAAAA=&#10;">
                      <v:path/>
                      <v:fill on="f" focussize="0,0"/>
                      <v:stroke on="f"/>
                      <v:imagedata o:title=""/>
                      <o:lock v:ext="edit"/>
                      <v:textbox>
                        <w:txbxContent>
                          <w:p>
                            <w:pPr>
                              <w:pStyle w:val="2"/>
                              <w:spacing w:before="0" w:beforeAutospacing="0" w:after="0" w:afterAutospacing="0"/>
                              <w:ind w:firstLine="110" w:firstLineChars="50"/>
                            </w:pPr>
                            <w:r>
                              <w:rPr>
                                <w:rFonts w:hint="eastAsia" w:ascii="黑体" w:hAnsi="黑体" w:eastAsia="黑体" w:cs="Times New Roman"/>
                                <w:color w:val="000000"/>
                                <w:sz w:val="22"/>
                                <w:szCs w:val="22"/>
                              </w:rPr>
                              <w:t>（14分）</w:t>
                            </w:r>
                          </w:p>
                        </w:txbxContent>
                      </v:textbox>
                    </v:shape>
                  </w:pict>
                </mc:Fallback>
              </mc:AlternateContent>
            </w:r>
            <w:r>
              <w:rPr>
                <w:rFonts w:hint="eastAsia" w:ascii="仿宋_GB2312" w:hAnsi="宋体" w:eastAsia="仿宋_GB2312"/>
                <w:sz w:val="22"/>
              </w:rPr>
              <w:t>21</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学校在年度经费预算中安排国防教育活动所需专项经费，积极争取各类国防教育基金支持</w:t>
            </w:r>
          </w:p>
        </w:tc>
        <w:tc>
          <w:tcPr>
            <w:tcW w:w="705" w:type="dxa"/>
            <w:noWrap w:val="0"/>
            <w:vAlign w:val="center"/>
          </w:tcPr>
          <w:p>
            <w:pPr>
              <w:topLinePunct/>
              <w:spacing w:line="360" w:lineRule="exact"/>
              <w:jc w:val="center"/>
              <w:rPr>
                <w:rFonts w:hint="eastAsia" w:ascii="仿宋_GB2312" w:eastAsia="仿宋_GB2312"/>
                <w:sz w:val="22"/>
              </w:rPr>
            </w:pPr>
            <w:r>
              <w:rPr>
                <w:rFonts w:hint="eastAsia" w:ascii="仿宋_GB2312" w:eastAsia="仿宋_GB2312"/>
                <w:sz w:val="22"/>
              </w:rPr>
              <w:t>3</w:t>
            </w:r>
          </w:p>
        </w:tc>
        <w:tc>
          <w:tcPr>
            <w:tcW w:w="709" w:type="dxa"/>
            <w:noWrap w:val="0"/>
            <w:vAlign w:val="center"/>
          </w:tcPr>
          <w:p>
            <w:pPr>
              <w:topLinePunct/>
              <w:spacing w:line="300" w:lineRule="exact"/>
              <w:rPr>
                <w:rFonts w:hint="eastAsia" w:ascii="仿宋_GB2312" w:eastAsia="仿宋_GB2312"/>
                <w:sz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22</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管好用好上级下拨的经费以及社会公益性组织和个人捐赠的财产，提高经费使用效益</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3</w:t>
            </w:r>
          </w:p>
        </w:tc>
        <w:tc>
          <w:tcPr>
            <w:tcW w:w="709" w:type="dxa"/>
            <w:noWrap w:val="0"/>
            <w:vAlign w:val="center"/>
          </w:tcPr>
          <w:p>
            <w:pPr>
              <w:topLinePunct/>
              <w:spacing w:line="300" w:lineRule="exact"/>
              <w:rPr>
                <w:rFonts w:hint="eastAsia" w:ascii="仿宋_GB2312" w:eastAsia="仿宋_GB2312"/>
                <w:sz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69" w:hRule="atLeast"/>
          <w:jc w:val="center"/>
        </w:trPr>
        <w:tc>
          <w:tcPr>
            <w:tcW w:w="1526" w:type="dxa"/>
            <w:gridSpan w:val="2"/>
            <w:noWrap w:val="0"/>
            <w:vAlign w:val="center"/>
          </w:tcPr>
          <w:p>
            <w:pPr>
              <w:topLinePunct/>
              <w:spacing w:line="400" w:lineRule="exact"/>
              <w:jc w:val="center"/>
              <w:rPr>
                <w:rFonts w:hint="eastAsia" w:ascii="黑体" w:hAnsi="黑体" w:eastAsia="黑体"/>
                <w:sz w:val="22"/>
                <w:szCs w:val="21"/>
              </w:rPr>
            </w:pPr>
            <w:r>
              <w:rPr>
                <w:rFonts w:hint="eastAsia" w:ascii="黑体" w:hAnsi="黑体" w:eastAsia="黑体"/>
                <w:sz w:val="22"/>
                <w:szCs w:val="21"/>
              </w:rPr>
              <w:t>综合得分</w:t>
            </w:r>
          </w:p>
        </w:tc>
        <w:tc>
          <w:tcPr>
            <w:tcW w:w="1843" w:type="dxa"/>
            <w:noWrap w:val="0"/>
            <w:vAlign w:val="center"/>
          </w:tcPr>
          <w:p>
            <w:pPr>
              <w:topLinePunct/>
              <w:spacing w:line="300" w:lineRule="exact"/>
              <w:rPr>
                <w:rFonts w:hint="eastAsia" w:ascii="仿宋_GB2312" w:eastAsia="仿宋_GB2312"/>
                <w:sz w:val="22"/>
                <w:szCs w:val="21"/>
              </w:rPr>
            </w:pPr>
          </w:p>
        </w:tc>
        <w:tc>
          <w:tcPr>
            <w:tcW w:w="1559" w:type="dxa"/>
            <w:noWrap w:val="0"/>
            <w:vAlign w:val="center"/>
          </w:tcPr>
          <w:p>
            <w:pPr>
              <w:topLinePunct/>
              <w:spacing w:line="400" w:lineRule="exact"/>
              <w:jc w:val="center"/>
              <w:rPr>
                <w:rFonts w:hint="eastAsia" w:ascii="仿宋_GB2312" w:eastAsia="仿宋_GB2312"/>
                <w:sz w:val="22"/>
                <w:szCs w:val="21"/>
              </w:rPr>
            </w:pPr>
            <w:r>
              <w:rPr>
                <w:rFonts w:hint="eastAsia" w:ascii="黑体" w:hAnsi="黑体" w:eastAsia="黑体"/>
                <w:sz w:val="22"/>
                <w:szCs w:val="21"/>
              </w:rPr>
              <w:t>评审人签字</w:t>
            </w:r>
          </w:p>
        </w:tc>
        <w:tc>
          <w:tcPr>
            <w:tcW w:w="4018" w:type="dxa"/>
            <w:gridSpan w:val="4"/>
            <w:noWrap w:val="0"/>
            <w:vAlign w:val="center"/>
          </w:tcPr>
          <w:p>
            <w:pPr>
              <w:topLinePunct/>
              <w:spacing w:line="300" w:lineRule="exact"/>
              <w:rPr>
                <w:rFonts w:hint="eastAsia" w:ascii="仿宋_GB2312" w:eastAsia="仿宋_GB2312"/>
                <w:sz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00" w:hRule="atLeast"/>
          <w:jc w:val="center"/>
        </w:trPr>
        <w:tc>
          <w:tcPr>
            <w:tcW w:w="1526" w:type="dxa"/>
            <w:gridSpan w:val="2"/>
            <w:vMerge w:val="restart"/>
            <w:noWrap w:val="0"/>
            <w:vAlign w:val="center"/>
          </w:tcPr>
          <w:p>
            <w:pPr>
              <w:topLinePunct/>
              <w:spacing w:line="400" w:lineRule="exact"/>
              <w:jc w:val="center"/>
              <w:rPr>
                <w:rFonts w:hint="eastAsia" w:ascii="仿宋_GB2312" w:eastAsia="仿宋_GB2312"/>
                <w:sz w:val="22"/>
                <w:szCs w:val="32"/>
              </w:rPr>
            </w:pPr>
            <w:r>
              <w:rPr>
                <w:rFonts w:hint="eastAsia" w:ascii="黑体" w:hAnsi="黑体" w:eastAsia="黑体"/>
                <w:sz w:val="22"/>
                <w:szCs w:val="21"/>
              </w:rPr>
              <w:t>评审结果</w:t>
            </w:r>
          </w:p>
        </w:tc>
        <w:tc>
          <w:tcPr>
            <w:tcW w:w="7420" w:type="dxa"/>
            <w:gridSpan w:val="6"/>
            <w:noWrap w:val="0"/>
            <w:vAlign w:val="center"/>
          </w:tcPr>
          <w:p>
            <w:pPr>
              <w:topLinePunct/>
              <w:spacing w:line="300" w:lineRule="exact"/>
              <w:ind w:firstLine="440" w:firstLineChars="200"/>
              <w:rPr>
                <w:rFonts w:hint="eastAsia" w:ascii="仿宋_GB2312" w:eastAsia="仿宋_GB2312"/>
                <w:sz w:val="22"/>
              </w:rPr>
            </w:pPr>
            <w:r>
              <w:rPr>
                <w:rFonts w:hint="eastAsia" w:ascii="仿宋_GB2312" w:eastAsia="仿宋_GB2312"/>
                <w:sz w:val="22"/>
              </w:rPr>
              <w:t>经评审，</w:t>
            </w:r>
            <w:r>
              <w:rPr>
                <w:rFonts w:hint="eastAsia" w:ascii="仿宋_GB2312" w:eastAsia="仿宋_GB2312"/>
                <w:sz w:val="22"/>
                <w:u w:val="single"/>
              </w:rPr>
              <w:t xml:space="preserve">            </w:t>
            </w:r>
            <w:r>
              <w:rPr>
                <w:rFonts w:hint="eastAsia" w:ascii="仿宋_GB2312" w:eastAsia="仿宋_GB2312"/>
                <w:sz w:val="22"/>
              </w:rPr>
              <w:t>认定该学校为“全国国防教育示范学校”(填写同意或不同意)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241" w:hRule="atLeast"/>
          <w:jc w:val="center"/>
        </w:trPr>
        <w:tc>
          <w:tcPr>
            <w:tcW w:w="1526" w:type="dxa"/>
            <w:gridSpan w:val="2"/>
            <w:vMerge w:val="continue"/>
            <w:noWrap w:val="0"/>
            <w:vAlign w:val="center"/>
          </w:tcPr>
          <w:p>
            <w:pPr>
              <w:topLinePunct/>
              <w:spacing w:line="400" w:lineRule="exact"/>
              <w:rPr>
                <w:rFonts w:hint="eastAsia" w:ascii="仿宋_GB2312" w:eastAsia="仿宋_GB2312"/>
                <w:sz w:val="22"/>
                <w:szCs w:val="32"/>
              </w:rPr>
            </w:pPr>
          </w:p>
        </w:tc>
        <w:tc>
          <w:tcPr>
            <w:tcW w:w="3710" w:type="dxa"/>
            <w:gridSpan w:val="3"/>
            <w:noWrap w:val="0"/>
            <w:vAlign w:val="center"/>
          </w:tcPr>
          <w:p>
            <w:pPr>
              <w:topLinePunct/>
              <w:spacing w:line="300" w:lineRule="exact"/>
              <w:ind w:firstLine="770" w:firstLineChars="350"/>
              <w:rPr>
                <w:rFonts w:hint="eastAsia" w:ascii="仿宋_GB2312" w:eastAsia="仿宋_GB2312"/>
                <w:sz w:val="22"/>
              </w:rPr>
            </w:pPr>
          </w:p>
          <w:p>
            <w:pPr>
              <w:topLinePunct/>
              <w:spacing w:line="300" w:lineRule="exact"/>
              <w:ind w:firstLine="770" w:firstLineChars="350"/>
              <w:rPr>
                <w:rFonts w:hint="eastAsia" w:ascii="仿宋_GB2312" w:eastAsia="仿宋_GB2312"/>
                <w:sz w:val="22"/>
              </w:rPr>
            </w:pPr>
          </w:p>
          <w:p>
            <w:pPr>
              <w:topLinePunct/>
              <w:spacing w:line="300" w:lineRule="exact"/>
              <w:ind w:firstLine="770" w:firstLineChars="350"/>
              <w:rPr>
                <w:rFonts w:hint="eastAsia" w:ascii="仿宋_GB2312" w:eastAsia="仿宋_GB2312"/>
                <w:sz w:val="22"/>
              </w:rPr>
            </w:pPr>
          </w:p>
          <w:p>
            <w:pPr>
              <w:topLinePunct/>
              <w:spacing w:line="300" w:lineRule="exact"/>
              <w:ind w:firstLine="770" w:firstLineChars="350"/>
              <w:rPr>
                <w:rFonts w:hint="eastAsia" w:ascii="仿宋_GB2312" w:eastAsia="仿宋_GB2312"/>
                <w:sz w:val="22"/>
              </w:rPr>
            </w:pPr>
          </w:p>
          <w:p>
            <w:pPr>
              <w:topLinePunct/>
              <w:spacing w:line="300" w:lineRule="exact"/>
              <w:ind w:firstLine="770" w:firstLineChars="350"/>
              <w:rPr>
                <w:rFonts w:hint="eastAsia" w:ascii="仿宋_GB2312" w:eastAsia="仿宋_GB2312"/>
                <w:sz w:val="22"/>
              </w:rPr>
            </w:pPr>
          </w:p>
          <w:p>
            <w:pPr>
              <w:topLinePunct/>
              <w:spacing w:line="300" w:lineRule="exact"/>
              <w:jc w:val="center"/>
              <w:rPr>
                <w:rFonts w:hint="eastAsia" w:ascii="仿宋_GB2312" w:eastAsia="仿宋_GB2312"/>
                <w:sz w:val="22"/>
              </w:rPr>
            </w:pPr>
            <w:r>
              <w:rPr>
                <w:rFonts w:hint="eastAsia" w:ascii="仿宋_GB2312" w:eastAsia="仿宋_GB2312"/>
                <w:sz w:val="22"/>
              </w:rPr>
              <w:t>教育行政部门（盖  章）</w:t>
            </w:r>
          </w:p>
          <w:p>
            <w:pPr>
              <w:topLinePunct/>
              <w:spacing w:line="300" w:lineRule="exact"/>
              <w:jc w:val="center"/>
              <w:rPr>
                <w:rFonts w:hint="eastAsia" w:ascii="仿宋_GB2312" w:eastAsia="仿宋_GB2312"/>
                <w:sz w:val="22"/>
              </w:rPr>
            </w:pPr>
            <w:r>
              <w:rPr>
                <w:rFonts w:hint="eastAsia" w:ascii="仿宋_GB2312" w:eastAsia="仿宋_GB2312"/>
                <w:sz w:val="22"/>
              </w:rPr>
              <w:t>年   月   日</w:t>
            </w:r>
          </w:p>
        </w:tc>
        <w:tc>
          <w:tcPr>
            <w:tcW w:w="3710" w:type="dxa"/>
            <w:gridSpan w:val="3"/>
            <w:noWrap w:val="0"/>
            <w:vAlign w:val="center"/>
          </w:tcPr>
          <w:p>
            <w:pPr>
              <w:topLinePunct/>
              <w:spacing w:line="300" w:lineRule="exact"/>
              <w:rPr>
                <w:rFonts w:hint="eastAsia" w:ascii="仿宋_GB2312" w:eastAsia="仿宋_GB2312"/>
                <w:sz w:val="22"/>
              </w:rPr>
            </w:pPr>
          </w:p>
          <w:p>
            <w:pPr>
              <w:topLinePunct/>
              <w:spacing w:line="300" w:lineRule="exact"/>
              <w:rPr>
                <w:rFonts w:hint="eastAsia" w:ascii="仿宋_GB2312" w:eastAsia="仿宋_GB2312"/>
                <w:sz w:val="22"/>
              </w:rPr>
            </w:pPr>
          </w:p>
          <w:p>
            <w:pPr>
              <w:topLinePunct/>
              <w:spacing w:line="300" w:lineRule="exact"/>
              <w:rPr>
                <w:rFonts w:hint="eastAsia" w:ascii="仿宋_GB2312" w:eastAsia="仿宋_GB2312"/>
                <w:sz w:val="22"/>
              </w:rPr>
            </w:pPr>
          </w:p>
          <w:p>
            <w:pPr>
              <w:topLinePunct/>
              <w:spacing w:line="300" w:lineRule="exact"/>
              <w:rPr>
                <w:rFonts w:hint="eastAsia" w:ascii="仿宋_GB2312" w:eastAsia="仿宋_GB2312"/>
                <w:sz w:val="22"/>
              </w:rPr>
            </w:pPr>
          </w:p>
          <w:p>
            <w:pPr>
              <w:topLinePunct/>
              <w:spacing w:line="300" w:lineRule="exact"/>
              <w:rPr>
                <w:rFonts w:hint="eastAsia" w:ascii="仿宋_GB2312" w:eastAsia="仿宋_GB2312"/>
                <w:sz w:val="22"/>
              </w:rPr>
            </w:pPr>
          </w:p>
          <w:p>
            <w:pPr>
              <w:topLinePunct/>
              <w:spacing w:line="300" w:lineRule="exact"/>
              <w:jc w:val="center"/>
              <w:rPr>
                <w:rFonts w:hint="eastAsia" w:ascii="仿宋_GB2312" w:eastAsia="仿宋_GB2312"/>
                <w:sz w:val="22"/>
              </w:rPr>
            </w:pPr>
            <w:r>
              <w:rPr>
                <w:rFonts w:hint="eastAsia" w:ascii="仿宋_GB2312" w:eastAsia="仿宋_GB2312"/>
                <w:sz w:val="22"/>
              </w:rPr>
              <w:t>省军区系统政治工作部门（盖  章）</w:t>
            </w:r>
          </w:p>
          <w:p>
            <w:pPr>
              <w:topLinePunct/>
              <w:spacing w:line="300" w:lineRule="exact"/>
              <w:jc w:val="center"/>
              <w:rPr>
                <w:rFonts w:hint="eastAsia" w:ascii="仿宋_GB2312" w:eastAsia="仿宋_GB2312"/>
                <w:sz w:val="22"/>
              </w:rPr>
            </w:pPr>
            <w:r>
              <w:rPr>
                <w:rFonts w:hint="eastAsia" w:ascii="仿宋_GB2312" w:eastAsia="仿宋_GB2312"/>
                <w:sz w:val="22"/>
              </w:rPr>
              <w:t>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58" w:hRule="atLeast"/>
          <w:jc w:val="center"/>
        </w:trPr>
        <w:tc>
          <w:tcPr>
            <w:tcW w:w="8946" w:type="dxa"/>
            <w:gridSpan w:val="8"/>
            <w:noWrap w:val="0"/>
            <w:vAlign w:val="center"/>
          </w:tcPr>
          <w:p>
            <w:pPr>
              <w:topLinePunct/>
              <w:spacing w:line="300" w:lineRule="exact"/>
              <w:rPr>
                <w:rFonts w:hint="eastAsia" w:ascii="仿宋_GB2312" w:eastAsia="仿宋_GB2312"/>
                <w:sz w:val="22"/>
              </w:rPr>
            </w:pPr>
            <w:r>
              <w:rPr>
                <w:rFonts w:hint="eastAsia" w:ascii="黑体" w:hAnsi="黑体" w:eastAsia="黑体"/>
                <w:sz w:val="22"/>
              </w:rPr>
              <w:t>说明：</w:t>
            </w:r>
            <w:r>
              <w:rPr>
                <w:rFonts w:hint="eastAsia" w:ascii="仿宋_GB2312" w:eastAsia="仿宋_GB2312"/>
                <w:sz w:val="22"/>
              </w:rPr>
              <w:t>1.评估标准满分100分，评估意见为“通过”或“不通过”；</w:t>
            </w:r>
          </w:p>
          <w:p>
            <w:pPr>
              <w:topLinePunct/>
              <w:spacing w:line="300" w:lineRule="exact"/>
              <w:ind w:left="921" w:leftChars="334" w:hanging="220" w:hangingChars="100"/>
              <w:rPr>
                <w:rFonts w:hint="eastAsia" w:ascii="仿宋_GB2312" w:eastAsia="仿宋_GB2312"/>
                <w:sz w:val="22"/>
              </w:rPr>
            </w:pPr>
            <w:r>
              <w:rPr>
                <w:rFonts w:hint="eastAsia" w:ascii="仿宋_GB2312" w:eastAsia="仿宋_GB2312"/>
                <w:sz w:val="22"/>
              </w:rPr>
              <w:t>2.学校曾因国防教育、教育拥军、军民共建等工作突出，受到县级以上表彰的加3分，地市级以上表彰的加5 分，省级以上表彰的加8分，国家级表彰的加10分；</w:t>
            </w:r>
          </w:p>
          <w:p>
            <w:pPr>
              <w:topLinePunct/>
              <w:spacing w:line="300" w:lineRule="exact"/>
              <w:rPr>
                <w:rFonts w:hint="eastAsia" w:ascii="仿宋_GB2312" w:eastAsia="仿宋_GB2312"/>
                <w:sz w:val="22"/>
              </w:rPr>
            </w:pPr>
            <w:r>
              <w:rPr>
                <w:rFonts w:hint="eastAsia" w:ascii="仿宋_GB2312" w:eastAsia="仿宋_GB2312"/>
                <w:sz w:val="22"/>
              </w:rPr>
              <w:t xml:space="preserve">      3.学校近3年有重大违规行为和重大安全责任事故的，不予以评估认定。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22699"/>
    <w:rsid w:val="48422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2022-01-06T00:27:00Z</dcterms:created>
  <dc:creator>洋</dc:creator>
  <cp:lastModifiedBy>洋</cp:lastModifiedBy>
  <dcterms:modified xsi:type="dcterms:W3CDTF">2022-01-06T00:28:34Z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AB9C5A93892E4037AD0F79B2CA81830A</vt:lpwstr>
  </property>
</Properties>
</file>