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"/>
        </w:rPr>
        <w:t>私设“景点”问题专项整治工作方案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近期，一些地方未经相关部门许可的私设“景点”，违规为游客提供游览服务、违规开展旅游经营活动，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人民群众反映强烈。为进一步规范旅游市场秩序、保护生态环境、维护游客权益，文化和旅游部定于2022年9月至11月开展私设“景点”问题专项整治工作，特制定本工作方案。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60" w:firstLineChars="1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以习近平新时代中国特色社会主义思想为指导，立足新发展阶段、贯彻新发展理念、构建新发展格局，牢固树立“绿水青山就是金山银山”理念，坚持目标导向、问题导向，坚持远近结合、标本兼治，坚持依法治理、综合治理，坚决开展私设“景点”清理整治，构建长效工作机制，规范旅游市场秩序，促进旅游业高质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二、整治范围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私设“景点”整治的对象为未经相关部门许可，在一定的场所或区域，违规为游客提供游览服务、违规开展旅游经营活动的行为，主要包括：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无照经营，扰乱旅游市场秩序的；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（二）未经许可，擅自收取门票费用的；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（三）私自建设旅游设施，破坏生态环境的；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（四）无证经营高风险旅游项目，存在旅游安全隐患的；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（五）虚假宣传、欺客宰客，损害游客合法权益的；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（六）私自改变土地用途，开展旅游经营的；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（七）其他违规提供旅游服务的。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360" w:firstLineChars="100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三、工作任务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（一）全面排查摸底。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各地要对照整治范围，对辖区内私设“景点”问题进行全面排查，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做到底数摸清、情况摸准、问题摸透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。9月12日前，召开专题会议进行部署，立即开展行动。9月20日前，排查辖区内私设“景点”问题，建立台账。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（二）开展清理整治。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根据排查摸底结果，立即依法依规开展整改。加强分类指导，该取缔的坚决取缔；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能够即时整改的，立即整改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到位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；对于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一时难以解决的，要明确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整改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时限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制定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整改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措施，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落实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责任单位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责任人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，办结一个、销号一个。10月31日前，根据排查情况立行立改，坚决进行清理整治。11月30日前，开展督促检查。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（三）严格执法惩处。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各地文化和旅游行政部门、文化市场综合执法机构要联合自然资源、生态环境、市场监管等相关部门，落实执法责任，依照《无证无照经营查处办法》等相关法律法规从严查处。旅行社、在线旅游企业等旅游经营者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不得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将私设“景点”作为旅游产品予以销售或推荐。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（四）加强督促检查。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各地要对专项整治工作逐级开展检查，确保整治工作各项要求落到实处。文化和旅游部将专项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整治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工作纳入省级人民政府质量考核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（旅游领域）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内容，对工作有力、成效突出的予以表扬，对工作不力、问题突出的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，予以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约谈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、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通报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批评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6"/>
          <w:szCs w:val="36"/>
          <w:lang w:val="en-US" w:eastAsia="zh-CN"/>
        </w:rPr>
        <w:t>（五）建立长效机制。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各地要以专项整治为契机，深入研究私设“景点”问题成因，理清政府、市场、当地群众等各方关系，逐步实现共建共治共享。要理顺管理体制，厘清部门职责，优化规划设计，合理布局乡村旅游点位，完善旅游基础设施，加强日常联合监管，坚决防止问题反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94" w:firstLineChars="193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（一）提高政治站位，加强组织领导。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各地文化和旅游行政部门要高度重视，充分认识专项整治工作的重要性和紧迫性。在党委政府的领导下，成立跨部门工作专班，将专项整治列为年度工作重点，认真研究制定具体工作方案。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7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（二）压实各方责任，依法稳妥推进。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专项整治工作由文化和旅游部牵头负责，省级统筹推进，市县抓具体落实。要建立问题清单，确保有据可查、有责可追。整治工作要充分考虑群众利益，防止出现新问题。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  <w:t>（三）强化工作统筹，推进部门协同。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各地文化和旅游行政部门要联合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自然资源、生态环境、市场监管等相关部门，建立健全常态化监管机制，加强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信息共享、协调配合，形成工作合力。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94" w:firstLineChars="193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sz w:val="36"/>
          <w:szCs w:val="36"/>
          <w:lang w:val="en-US" w:eastAsia="zh-CN"/>
        </w:rPr>
        <w:t>（四）加强宣传引导，营造良好氛围。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各地要积极利用各类媒体渠道，引导旅游市场主体依法依规开展经营活动，在经营过程中注意保护生态，注意游客安全。发布安全提示，引导游客主动抵制私设“景点”，文明旅游，绿色出行。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4247"/>
    <w:multiLevelType w:val="singleLevel"/>
    <w:tmpl w:val="CE0542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0EBC749F"/>
    <w:rsid w:val="0EBC74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200" w:firstLineChars="200"/>
    </w:pPr>
    <w:rPr>
      <w:rFonts w:ascii="Calibri" w:hAnsi="Calibri" w:eastAsia="宋体" w:cs="Times New Roman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2022-09-07T07:07:00Z</dcterms:created>
  <dc:creator>赖。</dc:creator>
  <cp:lastModifiedBy>赖。</cp:lastModifiedBy>
  <dcterms:modified xsi:type="dcterms:W3CDTF">2022-09-07T07:07:45Z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6349BC8564914F04A2448154A77C8EF7</vt:lpwstr>
  </property>
</Properties>
</file>